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F0DF" w14:textId="3ACD7AA3" w:rsidR="00967E72" w:rsidRPr="001702B9" w:rsidRDefault="000F5517" w:rsidP="0083095B">
      <w:pPr>
        <w:spacing w:before="120" w:after="120"/>
        <w:rPr>
          <w:rFonts w:cstheme="minorHAnsi"/>
          <w:b/>
          <w:color w:val="1F497D"/>
          <w:vertAlign w:val="superscript"/>
        </w:rPr>
      </w:pPr>
      <w:r w:rsidRPr="00587C36">
        <w:rPr>
          <w:rFonts w:cstheme="minorHAnsi"/>
          <w:b/>
          <w:color w:val="800000"/>
        </w:rPr>
        <w:t xml:space="preserve">LOCAL CONTENT DEVELOPMENT </w:t>
      </w:r>
    </w:p>
    <w:p w14:paraId="02124D85" w14:textId="66F3D388" w:rsidR="002435DA" w:rsidRPr="00CA3D5D" w:rsidRDefault="00197A49" w:rsidP="00587C36">
      <w:pPr>
        <w:pStyle w:val="bodytext1"/>
        <w:spacing w:after="120" w:line="276" w:lineRule="auto"/>
        <w:ind w:right="403"/>
        <w:rPr>
          <w:rFonts w:asciiTheme="minorHAnsi" w:hAnsiTheme="minorHAnsi" w:cstheme="minorHAnsi"/>
          <w:color w:val="7030A0"/>
          <w:sz w:val="22"/>
          <w:szCs w:val="22"/>
          <w:vertAlign w:val="superscript"/>
          <w:lang w:val="en-GB"/>
        </w:rPr>
      </w:pPr>
      <w:r w:rsidRPr="002605EB">
        <w:rPr>
          <w:rFonts w:asciiTheme="minorHAnsi" w:hAnsiTheme="minorHAnsi" w:cstheme="minorHAnsi"/>
          <w:color w:val="auto"/>
          <w:sz w:val="22"/>
          <w:szCs w:val="22"/>
          <w:lang w:val="en-GB"/>
        </w:rPr>
        <w:t>Since the beginning of the development of the Karachaganak field, KPO</w:t>
      </w:r>
      <w:r w:rsidR="006B06D0" w:rsidRPr="002605EB">
        <w:rPr>
          <w:rFonts w:asciiTheme="minorHAnsi" w:hAnsiTheme="minorHAnsi" w:cstheme="minorHAnsi"/>
          <w:color w:val="auto"/>
          <w:sz w:val="22"/>
          <w:szCs w:val="22"/>
          <w:lang w:val="en-GB"/>
        </w:rPr>
        <w:t xml:space="preserve"> company</w:t>
      </w:r>
      <w:r w:rsidRPr="002605EB">
        <w:rPr>
          <w:rFonts w:asciiTheme="minorHAnsi" w:hAnsiTheme="minorHAnsi" w:cstheme="minorHAnsi"/>
          <w:color w:val="auto"/>
          <w:sz w:val="22"/>
          <w:szCs w:val="22"/>
          <w:lang w:val="en-GB"/>
        </w:rPr>
        <w:t xml:space="preserve"> has been actively working </w:t>
      </w:r>
      <w:r w:rsidR="006B06D0" w:rsidRPr="002605EB">
        <w:rPr>
          <w:rFonts w:asciiTheme="minorHAnsi" w:hAnsiTheme="minorHAnsi" w:cstheme="minorHAnsi"/>
          <w:color w:val="auto"/>
          <w:sz w:val="22"/>
          <w:szCs w:val="22"/>
          <w:lang w:val="en-GB"/>
        </w:rPr>
        <w:t>on</w:t>
      </w:r>
      <w:r w:rsidRPr="002605EB">
        <w:rPr>
          <w:rFonts w:asciiTheme="minorHAnsi" w:hAnsiTheme="minorHAnsi" w:cstheme="minorHAnsi"/>
          <w:color w:val="auto"/>
          <w:sz w:val="22"/>
          <w:szCs w:val="22"/>
          <w:lang w:val="en-GB"/>
        </w:rPr>
        <w:t xml:space="preserve"> increas</w:t>
      </w:r>
      <w:r w:rsidR="006B06D0" w:rsidRPr="002605EB">
        <w:rPr>
          <w:rFonts w:asciiTheme="minorHAnsi" w:hAnsiTheme="minorHAnsi" w:cstheme="minorHAnsi"/>
          <w:color w:val="auto"/>
          <w:sz w:val="22"/>
          <w:szCs w:val="22"/>
          <w:lang w:val="en-GB"/>
        </w:rPr>
        <w:t>ing</w:t>
      </w:r>
      <w:r w:rsidRPr="002605EB">
        <w:rPr>
          <w:rFonts w:asciiTheme="minorHAnsi" w:hAnsiTheme="minorHAnsi" w:cstheme="minorHAnsi"/>
          <w:color w:val="auto"/>
          <w:sz w:val="22"/>
          <w:szCs w:val="22"/>
          <w:lang w:val="en-GB"/>
        </w:rPr>
        <w:t xml:space="preserve"> the share of local content in the Karachaganak project by involving Kazakhstani </w:t>
      </w:r>
      <w:r w:rsidR="00673910" w:rsidRPr="002605EB">
        <w:rPr>
          <w:rFonts w:asciiTheme="minorHAnsi" w:hAnsiTheme="minorHAnsi" w:cstheme="minorHAnsi"/>
          <w:color w:val="auto"/>
          <w:sz w:val="22"/>
          <w:szCs w:val="22"/>
          <w:lang w:val="en-US"/>
        </w:rPr>
        <w:t xml:space="preserve">commodity </w:t>
      </w:r>
      <w:r w:rsidRPr="002605EB">
        <w:rPr>
          <w:rFonts w:asciiTheme="minorHAnsi" w:hAnsiTheme="minorHAnsi" w:cstheme="minorHAnsi"/>
          <w:color w:val="auto"/>
          <w:sz w:val="22"/>
          <w:szCs w:val="22"/>
          <w:lang w:val="en-GB"/>
        </w:rPr>
        <w:t>producers and service providers. This implies a decrease in imports and an increase in the volume of goods, services and works of domestic production in the total volume of goods, works and services purchased for the Karachaganak project</w:t>
      </w:r>
      <w:r w:rsidR="002435DA" w:rsidRPr="002605EB">
        <w:rPr>
          <w:rFonts w:asciiTheme="minorHAnsi" w:eastAsiaTheme="minorEastAsia" w:hAnsiTheme="minorHAnsi" w:cstheme="minorHAnsi"/>
          <w:color w:val="auto"/>
          <w:sz w:val="22"/>
          <w:szCs w:val="22"/>
          <w:lang w:val="en-GB"/>
        </w:rPr>
        <w:t>.</w:t>
      </w:r>
      <w:r w:rsidR="0002396E" w:rsidRPr="002605EB">
        <w:rPr>
          <w:rFonts w:asciiTheme="minorHAnsi" w:hAnsiTheme="minorHAnsi" w:cstheme="minorHAnsi"/>
          <w:b/>
          <w:i/>
          <w:color w:val="auto"/>
          <w:sz w:val="22"/>
          <w:szCs w:val="22"/>
          <w:lang w:val="en-GB"/>
        </w:rPr>
        <w:br/>
      </w:r>
      <w:r w:rsidR="0086284E" w:rsidRPr="002605EB">
        <w:rPr>
          <w:rFonts w:asciiTheme="minorHAnsi" w:hAnsiTheme="minorHAnsi" w:cstheme="minorHAnsi"/>
          <w:color w:val="auto"/>
          <w:sz w:val="22"/>
          <w:szCs w:val="22"/>
          <w:lang w:val="en-GB"/>
        </w:rPr>
        <w:t xml:space="preserve">KPO has been continuously developing and implementing the Local Content Development Programme for the Karachaganak Project since 2001.  The objectives of the Programme for the period 2022-2023 are consistent with the state initiatives for the development of mechanical engineering, industrialization and digitalization of the Republic of Kazakhstan and with the KPO corporate policy in the field of local content.  This Program defines the goals and objectives for the development of local content, as well as key indicative </w:t>
      </w:r>
      <w:r w:rsidR="00D71568" w:rsidRPr="002605EB">
        <w:rPr>
          <w:rFonts w:asciiTheme="minorHAnsi" w:hAnsiTheme="minorHAnsi" w:cstheme="minorHAnsi"/>
          <w:color w:val="auto"/>
          <w:sz w:val="22"/>
          <w:szCs w:val="22"/>
          <w:lang w:val="en-GB"/>
        </w:rPr>
        <w:t>data</w:t>
      </w:r>
      <w:r w:rsidR="0086284E" w:rsidRPr="002605EB">
        <w:rPr>
          <w:rFonts w:asciiTheme="minorHAnsi" w:hAnsiTheme="minorHAnsi" w:cstheme="minorHAnsi"/>
          <w:color w:val="auto"/>
          <w:sz w:val="22"/>
          <w:szCs w:val="22"/>
          <w:lang w:val="en-GB"/>
        </w:rPr>
        <w:t xml:space="preserve"> for monitoring and evaluating the effectiveness of activities. </w:t>
      </w:r>
      <w:r w:rsidR="002605EB" w:rsidRPr="00070943">
        <w:rPr>
          <w:rFonts w:asciiTheme="minorHAnsi" w:hAnsiTheme="minorHAnsi" w:cstheme="minorHAnsi"/>
          <w:color w:val="1F497D" w:themeColor="text2"/>
          <w:sz w:val="22"/>
          <w:szCs w:val="22"/>
          <w:vertAlign w:val="superscript"/>
          <w:lang w:val="en-GB"/>
        </w:rPr>
        <w:t>GRI 3-3</w:t>
      </w:r>
    </w:p>
    <w:p w14:paraId="1334A9DB" w14:textId="72AEAEE4" w:rsidR="00F902BD" w:rsidRPr="00070943" w:rsidRDefault="00727B75" w:rsidP="00CF2028">
      <w:pPr>
        <w:spacing w:before="120" w:after="120"/>
        <w:jc w:val="both"/>
        <w:rPr>
          <w:rFonts w:cstheme="minorHAnsi"/>
          <w:color w:val="7030A0"/>
        </w:rPr>
      </w:pPr>
      <w:r w:rsidRPr="002703FF">
        <w:rPr>
          <w:rFonts w:cstheme="minorHAnsi"/>
        </w:rPr>
        <w:t>In 2023, KPO Local Content Development Initiatives</w:t>
      </w:r>
      <w:r w:rsidR="00334391" w:rsidRPr="002703FF">
        <w:rPr>
          <w:rFonts w:cstheme="minorHAnsi"/>
        </w:rPr>
        <w:t xml:space="preserve"> allowed to</w:t>
      </w:r>
      <w:r w:rsidRPr="002703FF">
        <w:rPr>
          <w:rFonts w:cstheme="minorHAnsi"/>
        </w:rPr>
        <w:t xml:space="preserve"> achieve the following results: </w:t>
      </w:r>
      <w:r w:rsidR="00070943" w:rsidRPr="00587C36">
        <w:rPr>
          <w:rFonts w:cstheme="minorHAnsi"/>
          <w:color w:val="1F497D" w:themeColor="text2"/>
          <w:vertAlign w:val="superscript"/>
        </w:rPr>
        <w:t>GRI</w:t>
      </w:r>
      <w:r w:rsidR="00070943" w:rsidRPr="00070943">
        <w:rPr>
          <w:rFonts w:cstheme="minorHAnsi"/>
          <w:color w:val="1F497D" w:themeColor="text2"/>
          <w:vertAlign w:val="superscript"/>
        </w:rPr>
        <w:t xml:space="preserve"> 204-1</w:t>
      </w:r>
    </w:p>
    <w:p w14:paraId="6664F56C" w14:textId="7B95DAFA" w:rsidR="00F902BD" w:rsidRPr="002703FF" w:rsidRDefault="00A74900" w:rsidP="00CF2028">
      <w:pPr>
        <w:pStyle w:val="ListParagraph"/>
        <w:numPr>
          <w:ilvl w:val="0"/>
          <w:numId w:val="1"/>
        </w:numPr>
        <w:spacing w:before="120" w:after="120"/>
        <w:ind w:left="426" w:hanging="284"/>
        <w:contextualSpacing w:val="0"/>
        <w:jc w:val="both"/>
        <w:rPr>
          <w:rFonts w:cstheme="minorHAnsi"/>
        </w:rPr>
      </w:pPr>
      <w:r w:rsidRPr="002703FF">
        <w:rPr>
          <w:rFonts w:cstheme="minorHAnsi"/>
        </w:rPr>
        <w:t xml:space="preserve">The share of local content in the procurement of goods, works and services in the Karachaganak project </w:t>
      </w:r>
      <w:r w:rsidR="00266233" w:rsidRPr="002703FF">
        <w:rPr>
          <w:rFonts w:eastAsia="Calibri" w:cstheme="minorHAnsi"/>
          <w:lang w:eastAsia="ru-RU" w:bidi="ru-RU"/>
        </w:rPr>
        <w:t xml:space="preserve">in 2023 </w:t>
      </w:r>
      <w:r w:rsidR="00226B64" w:rsidRPr="002703FF">
        <w:rPr>
          <w:rFonts w:cstheme="minorHAnsi"/>
        </w:rPr>
        <w:t>amounted to 63.24</w:t>
      </w:r>
      <w:r w:rsidR="00B17A00" w:rsidRPr="002703FF">
        <w:rPr>
          <w:rFonts w:eastAsia="Calibri" w:cstheme="minorHAnsi"/>
          <w:lang w:eastAsia="ru-RU" w:bidi="ru-RU"/>
        </w:rPr>
        <w:t>% (equivalent to</w:t>
      </w:r>
      <w:r w:rsidR="00CA3D5D" w:rsidRPr="002703FF">
        <w:rPr>
          <w:rFonts w:eastAsia="Calibri" w:cstheme="minorHAnsi"/>
          <w:lang w:eastAsia="ru-RU" w:bidi="ru-RU"/>
        </w:rPr>
        <w:t xml:space="preserve"> </w:t>
      </w:r>
      <w:r w:rsidR="00124664" w:rsidRPr="002703FF">
        <w:rPr>
          <w:rFonts w:eastAsia="Calibri" w:cstheme="minorHAnsi"/>
          <w:lang w:eastAsia="ru-RU" w:bidi="ru-RU"/>
        </w:rPr>
        <w:t xml:space="preserve">US$ </w:t>
      </w:r>
      <w:r w:rsidR="00B17A00" w:rsidRPr="002703FF">
        <w:rPr>
          <w:rFonts w:eastAsia="Calibri" w:cstheme="minorHAnsi"/>
          <w:lang w:eastAsia="ru-RU" w:bidi="ru-RU"/>
        </w:rPr>
        <w:t xml:space="preserve">756.1 </w:t>
      </w:r>
      <w:r w:rsidR="00B17A00" w:rsidRPr="002703FF">
        <w:rPr>
          <w:rFonts w:cstheme="minorHAnsi"/>
        </w:rPr>
        <w:t xml:space="preserve">million); </w:t>
      </w:r>
    </w:p>
    <w:p w14:paraId="0F27E645" w14:textId="693BDFD0" w:rsidR="00587C36" w:rsidRPr="002703FF" w:rsidRDefault="00F06919" w:rsidP="00F6483A">
      <w:pPr>
        <w:pStyle w:val="ListParagraph"/>
        <w:numPr>
          <w:ilvl w:val="0"/>
          <w:numId w:val="1"/>
        </w:numPr>
        <w:spacing w:before="120" w:after="120"/>
        <w:ind w:left="426" w:hanging="284"/>
        <w:contextualSpacing w:val="0"/>
        <w:jc w:val="both"/>
        <w:rPr>
          <w:rFonts w:cstheme="minorHAnsi"/>
          <w:b/>
        </w:rPr>
      </w:pPr>
      <w:r w:rsidRPr="002703FF">
        <w:rPr>
          <w:rFonts w:eastAsia="Calibri" w:cstheme="minorHAnsi"/>
          <w:lang w:eastAsia="ru-RU" w:bidi="ru-RU"/>
        </w:rPr>
        <w:t>Kazakhstani</w:t>
      </w:r>
      <w:r w:rsidR="00CA3D5D" w:rsidRPr="002703FF">
        <w:rPr>
          <w:rFonts w:eastAsia="Calibri" w:cstheme="minorHAnsi"/>
          <w:lang w:eastAsia="ru-RU" w:bidi="ru-RU"/>
        </w:rPr>
        <w:t xml:space="preserve"> produced</w:t>
      </w:r>
      <w:r w:rsidRPr="002703FF">
        <w:rPr>
          <w:rFonts w:eastAsia="Calibri" w:cstheme="minorHAnsi"/>
          <w:lang w:eastAsia="ru-RU" w:bidi="ru-RU"/>
        </w:rPr>
        <w:t xml:space="preserve"> goods were purchased in the amount of 49 million</w:t>
      </w:r>
      <w:r w:rsidR="00CA3D5D" w:rsidRPr="002703FF">
        <w:rPr>
          <w:rFonts w:eastAsia="Calibri" w:cstheme="minorHAnsi"/>
          <w:lang w:eastAsia="ru-RU" w:bidi="ru-RU"/>
        </w:rPr>
        <w:t xml:space="preserve"> US dollars</w:t>
      </w:r>
      <w:r w:rsidRPr="002703FF">
        <w:rPr>
          <w:rFonts w:eastAsia="Calibri" w:cstheme="minorHAnsi"/>
          <w:lang w:eastAsia="ru-RU" w:bidi="ru-RU"/>
        </w:rPr>
        <w:t>, which is 24.4% of the total volume of purchases (of which the share of local content is 10.8% under the ST-KZ certificate</w:t>
      </w:r>
      <w:r w:rsidR="00E142BB" w:rsidRPr="002703FF">
        <w:rPr>
          <w:rStyle w:val="FootnoteReference"/>
          <w:rFonts w:eastAsia="Calibri" w:cstheme="minorHAnsi"/>
          <w:lang w:eastAsia="ru-RU" w:bidi="ru-RU"/>
        </w:rPr>
        <w:footnoteReference w:id="2"/>
      </w:r>
      <w:r w:rsidRPr="002703FF">
        <w:rPr>
          <w:rFonts w:eastAsia="Calibri" w:cstheme="minorHAnsi"/>
          <w:lang w:eastAsia="ru-RU" w:bidi="ru-RU"/>
        </w:rPr>
        <w:t xml:space="preserve">). </w:t>
      </w:r>
    </w:p>
    <w:p w14:paraId="02D14A9F" w14:textId="77689699" w:rsidR="0063284B" w:rsidRPr="001702B9" w:rsidRDefault="009D2B10" w:rsidP="0083095B">
      <w:pPr>
        <w:spacing w:before="120" w:after="120"/>
        <w:rPr>
          <w:rFonts w:cstheme="minorHAnsi"/>
          <w:color w:val="C00000"/>
        </w:rPr>
      </w:pPr>
      <w:r>
        <w:rPr>
          <w:rFonts w:cstheme="minorHAnsi"/>
          <w:b/>
          <w:color w:val="1F497D"/>
        </w:rPr>
        <w:t>Chart</w:t>
      </w:r>
      <w:r w:rsidR="000F5517" w:rsidRPr="00587C36">
        <w:rPr>
          <w:rFonts w:cstheme="minorHAnsi"/>
          <w:b/>
          <w:color w:val="1F497D"/>
        </w:rPr>
        <w:t xml:space="preserve"> </w:t>
      </w:r>
      <w:r w:rsidR="00843CC3" w:rsidRPr="00587C36">
        <w:rPr>
          <w:rFonts w:eastAsia="Calibri" w:cstheme="minorHAnsi"/>
          <w:b/>
          <w:color w:val="1F497D"/>
          <w:lang w:eastAsia="ru-RU" w:bidi="ru-RU"/>
        </w:rPr>
        <w:t>28</w:t>
      </w:r>
      <w:r w:rsidR="000F5517" w:rsidRPr="00587C36">
        <w:rPr>
          <w:rFonts w:cstheme="minorHAnsi"/>
          <w:b/>
          <w:color w:val="1F497D"/>
        </w:rPr>
        <w:t xml:space="preserve">. Share of local content in KPO total procurement, </w:t>
      </w:r>
      <w:r w:rsidR="00AA2291" w:rsidRPr="00587C36">
        <w:rPr>
          <w:rFonts w:eastAsia="Calibri" w:cstheme="minorHAnsi"/>
          <w:b/>
          <w:color w:val="1F497D"/>
          <w:lang w:eastAsia="ru-RU" w:bidi="ru-RU"/>
        </w:rPr>
        <w:t>2014 - 2023</w:t>
      </w:r>
      <w:r w:rsidR="000F5517" w:rsidRPr="00587C36">
        <w:rPr>
          <w:rFonts w:cstheme="minorHAnsi"/>
          <w:b/>
          <w:color w:val="1F497D"/>
        </w:rPr>
        <w:t xml:space="preserve"> </w:t>
      </w:r>
      <w:r w:rsidR="002D2120" w:rsidRPr="00587C36">
        <w:rPr>
          <w:rFonts w:cstheme="minorHAnsi"/>
          <w:b/>
          <w:color w:val="1F497D"/>
          <w:vertAlign w:val="superscript"/>
        </w:rPr>
        <w:t xml:space="preserve">GRI 204-1 </w:t>
      </w:r>
      <w:r w:rsidR="0073401E" w:rsidRPr="00587C36">
        <w:rPr>
          <w:rFonts w:cstheme="minorHAnsi"/>
          <w:color w:val="C00000"/>
        </w:rPr>
        <w:t>[Chart Number Format</w:t>
      </w:r>
      <w:r w:rsidR="00551580">
        <w:rPr>
          <w:rFonts w:cstheme="minorHAnsi"/>
          <w:color w:val="C00000"/>
        </w:rPr>
        <w:t xml:space="preserve"> </w:t>
      </w:r>
      <w:r w:rsidR="00551580" w:rsidRPr="00587C36">
        <w:rPr>
          <w:rFonts w:cstheme="minorHAnsi"/>
          <w:color w:val="C00000"/>
        </w:rPr>
        <w:t>00.0</w:t>
      </w:r>
      <w:r w:rsidR="0073401E" w:rsidRPr="00587C36">
        <w:rPr>
          <w:rFonts w:cstheme="minorHAnsi"/>
          <w:color w:val="C00000"/>
        </w:rPr>
        <w:t>]</w:t>
      </w:r>
    </w:p>
    <w:p w14:paraId="32287108" w14:textId="2ADFDC78" w:rsidR="008649B5" w:rsidRPr="001702B9" w:rsidRDefault="008649B5" w:rsidP="0083095B">
      <w:pPr>
        <w:spacing w:before="120" w:after="120"/>
        <w:rPr>
          <w:rFonts w:eastAsia="Calibri" w:cstheme="minorHAnsi"/>
          <w:b/>
          <w:color w:val="1F497D"/>
          <w:lang w:eastAsia="ru-RU" w:bidi="ru-RU"/>
        </w:rPr>
      </w:pPr>
    </w:p>
    <w:p w14:paraId="13894293" w14:textId="507469FF" w:rsidR="00F11569" w:rsidRPr="00587C36" w:rsidRDefault="00F11569" w:rsidP="00CF2028">
      <w:pPr>
        <w:spacing w:before="120" w:after="120"/>
        <w:jc w:val="both"/>
        <w:rPr>
          <w:rFonts w:cstheme="minorHAnsi"/>
          <w:lang w:val="ru-RU"/>
        </w:rPr>
      </w:pPr>
      <w:r w:rsidRPr="00587C36">
        <w:rPr>
          <w:rFonts w:cstheme="minorHAnsi"/>
          <w:noProof/>
        </w:rPr>
        <w:drawing>
          <wp:inline distT="0" distB="0" distL="0" distR="0" wp14:anchorId="1D133196" wp14:editId="393E1C21">
            <wp:extent cx="5734050" cy="2695575"/>
            <wp:effectExtent l="0" t="0" r="0" b="9525"/>
            <wp:docPr id="3" name="Chart 3">
              <a:extLst xmlns:a="http://schemas.openxmlformats.org/drawingml/2006/main">
                <a:ext uri="{FF2B5EF4-FFF2-40B4-BE49-F238E27FC236}">
                  <a16:creationId xmlns:a16="http://schemas.microsoft.com/office/drawing/2014/main" id="{FBD3EB3A-8BB3-454F-B315-DFE8A9F286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850D62" w14:textId="793D6106" w:rsidR="00D04A46" w:rsidRPr="00D25B13" w:rsidRDefault="002E4BB4" w:rsidP="00CF2028">
      <w:pPr>
        <w:spacing w:before="120" w:after="120"/>
        <w:jc w:val="both"/>
        <w:rPr>
          <w:rFonts w:cstheme="minorHAnsi"/>
          <w:color w:val="7030A0"/>
        </w:rPr>
      </w:pPr>
      <w:r w:rsidRPr="00587C36">
        <w:rPr>
          <w:rFonts w:cstheme="minorHAnsi"/>
        </w:rPr>
        <w:br/>
      </w:r>
      <w:r w:rsidR="00D04A46" w:rsidRPr="00B431B3">
        <w:rPr>
          <w:rFonts w:cstheme="minorHAnsi"/>
        </w:rPr>
        <w:t xml:space="preserve">Since the signing of the FPSA in 1997. </w:t>
      </w:r>
      <w:r w:rsidR="00D04A46" w:rsidRPr="00B431B3">
        <w:rPr>
          <w:rFonts w:eastAsia="Calibri" w:cstheme="minorHAnsi"/>
          <w:lang w:eastAsia="ru-RU" w:bidi="ru-RU"/>
        </w:rPr>
        <w:t xml:space="preserve">at the end of 2023, the total share of local content in the procurement of goods, works and services in Karachaganak exceeded </w:t>
      </w:r>
      <w:r w:rsidR="005E0CAA" w:rsidRPr="00B431B3">
        <w:rPr>
          <w:rFonts w:eastAsia="Calibri" w:cstheme="minorHAnsi"/>
          <w:lang w:eastAsia="ru-RU" w:bidi="ru-RU"/>
        </w:rPr>
        <w:t xml:space="preserve">US$ </w:t>
      </w:r>
      <w:r w:rsidR="00D04A46" w:rsidRPr="00B431B3">
        <w:rPr>
          <w:rFonts w:eastAsia="Calibri" w:cstheme="minorHAnsi"/>
          <w:lang w:eastAsia="ru-RU" w:bidi="ru-RU"/>
        </w:rPr>
        <w:t>10.12 billion</w:t>
      </w:r>
      <w:r w:rsidR="00D04A46" w:rsidRPr="00B431B3">
        <w:rPr>
          <w:rFonts w:cstheme="minorHAnsi"/>
        </w:rPr>
        <w:t>.</w:t>
      </w:r>
      <w:r w:rsidR="00D04A46" w:rsidRPr="00B431B3">
        <w:rPr>
          <w:rFonts w:cstheme="minorHAnsi"/>
          <w:i/>
        </w:rPr>
        <w:t xml:space="preserve"> </w:t>
      </w:r>
      <w:r w:rsidR="00B431B3" w:rsidRPr="00587C36">
        <w:rPr>
          <w:rFonts w:cstheme="minorHAnsi"/>
          <w:color w:val="1F497D" w:themeColor="text2"/>
          <w:vertAlign w:val="superscript"/>
          <w:lang w:val="en-US"/>
        </w:rPr>
        <w:t>GRI</w:t>
      </w:r>
      <w:r w:rsidR="00B431B3" w:rsidRPr="005C0FA2">
        <w:rPr>
          <w:rFonts w:cstheme="minorHAnsi"/>
          <w:color w:val="1F497D" w:themeColor="text2"/>
          <w:vertAlign w:val="superscript"/>
        </w:rPr>
        <w:t xml:space="preserve"> 204-1</w:t>
      </w:r>
    </w:p>
    <w:p w14:paraId="0F5F5267" w14:textId="01574206" w:rsidR="00017EFB" w:rsidRPr="00C623B3" w:rsidRDefault="00F34221" w:rsidP="00CF2028">
      <w:pPr>
        <w:spacing w:before="120" w:after="120"/>
        <w:jc w:val="both"/>
        <w:rPr>
          <w:rFonts w:cstheme="minorHAnsi"/>
        </w:rPr>
      </w:pPr>
      <w:r w:rsidRPr="00C623B3">
        <w:rPr>
          <w:rFonts w:cstheme="minorHAnsi"/>
        </w:rPr>
        <w:lastRenderedPageBreak/>
        <w:t>The Company pays special attention to increasing the share of local content in terms of purchases of Kazakhstan</w:t>
      </w:r>
      <w:proofErr w:type="spellStart"/>
      <w:r w:rsidR="000652E7" w:rsidRPr="00C623B3">
        <w:rPr>
          <w:rFonts w:cstheme="minorHAnsi"/>
          <w:lang w:val="en-US"/>
        </w:rPr>
        <w:t>i</w:t>
      </w:r>
      <w:proofErr w:type="spellEnd"/>
      <w:r w:rsidR="000652E7" w:rsidRPr="00C623B3">
        <w:rPr>
          <w:rFonts w:cstheme="minorHAnsi"/>
          <w:lang w:val="en-US"/>
        </w:rPr>
        <w:t xml:space="preserve"> produced</w:t>
      </w:r>
      <w:r w:rsidRPr="00C623B3">
        <w:rPr>
          <w:rFonts w:cstheme="minorHAnsi"/>
        </w:rPr>
        <w:t xml:space="preserve"> goods.  </w:t>
      </w:r>
    </w:p>
    <w:p w14:paraId="56E8FF2D" w14:textId="55DA798C" w:rsidR="00DE57FE" w:rsidRPr="00C623B3" w:rsidRDefault="00A03F21" w:rsidP="00CF2028">
      <w:pPr>
        <w:jc w:val="both"/>
        <w:rPr>
          <w:rFonts w:eastAsia="Calibri" w:cstheme="minorHAnsi"/>
          <w:lang w:eastAsia="ru-RU" w:bidi="ru-RU"/>
        </w:rPr>
      </w:pPr>
      <w:r w:rsidRPr="00C623B3">
        <w:rPr>
          <w:rFonts w:eastAsia="Calibri" w:cstheme="minorHAnsi"/>
          <w:lang w:eastAsia="ru-RU" w:bidi="ru-RU"/>
        </w:rPr>
        <w:t xml:space="preserve">In 2023 </w:t>
      </w:r>
      <w:r w:rsidRPr="00C623B3">
        <w:rPr>
          <w:rFonts w:cstheme="minorHAnsi"/>
        </w:rPr>
        <w:t xml:space="preserve">22 contracts were signed for a total amount of over </w:t>
      </w:r>
      <w:r w:rsidR="00EB2831" w:rsidRPr="00C623B3">
        <w:rPr>
          <w:rFonts w:cstheme="minorHAnsi"/>
        </w:rPr>
        <w:t xml:space="preserve">US$ </w:t>
      </w:r>
      <w:r w:rsidRPr="00C623B3">
        <w:rPr>
          <w:rFonts w:cstheme="minorHAnsi"/>
        </w:rPr>
        <w:t>77 million</w:t>
      </w:r>
      <w:r w:rsidR="00281A96" w:rsidRPr="00C623B3">
        <w:rPr>
          <w:rFonts w:cstheme="minorHAnsi"/>
        </w:rPr>
        <w:t xml:space="preserve"> f</w:t>
      </w:r>
      <w:r w:rsidRPr="00C623B3">
        <w:rPr>
          <w:rFonts w:cstheme="minorHAnsi"/>
        </w:rPr>
        <w:t xml:space="preserve">or the production of the following types of goods in the Republic of Kazakhstan: electrical equipment (junction boxes, transformers, remote telemetry units), valves, transformers, PPE, filter elements, instrumentation, pipe products, etc., for the needs of the Karachaganak project. </w:t>
      </w:r>
    </w:p>
    <w:p w14:paraId="43923F4F" w14:textId="14C5DB89" w:rsidR="00A03F21" w:rsidRPr="00C623B3" w:rsidRDefault="00B1462D" w:rsidP="00CF2028">
      <w:pPr>
        <w:jc w:val="both"/>
        <w:rPr>
          <w:rFonts w:cstheme="minorHAnsi"/>
        </w:rPr>
      </w:pPr>
      <w:r w:rsidRPr="00C623B3">
        <w:rPr>
          <w:rFonts w:cstheme="minorHAnsi"/>
        </w:rPr>
        <w:t xml:space="preserve">Holding "Kazakhstan tenders" contributes to the growth of competitiveness of local manufacturers and suppliers.  </w:t>
      </w:r>
      <w:r w:rsidR="00BE5440" w:rsidRPr="00C623B3">
        <w:rPr>
          <w:rFonts w:eastAsia="Calibri" w:cstheme="minorHAnsi"/>
          <w:lang w:eastAsia="ru-RU" w:bidi="ru-RU"/>
        </w:rPr>
        <w:t>In 2023</w:t>
      </w:r>
      <w:r w:rsidR="00BE5440" w:rsidRPr="00C623B3">
        <w:rPr>
          <w:rFonts w:cstheme="minorHAnsi"/>
        </w:rPr>
        <w:t xml:space="preserve">, KPO initiated 7 "Kazakhstan tenders" exclusively among local companies for a total amount of </w:t>
      </w:r>
      <w:r w:rsidR="00EB2831" w:rsidRPr="00C623B3">
        <w:rPr>
          <w:rFonts w:cstheme="minorHAnsi"/>
        </w:rPr>
        <w:t xml:space="preserve">US$ </w:t>
      </w:r>
      <w:r w:rsidR="00BE5440" w:rsidRPr="00C623B3">
        <w:rPr>
          <w:rFonts w:cstheme="minorHAnsi"/>
        </w:rPr>
        <w:t xml:space="preserve">60.5 million.  As a result, KPO awarded one contract for a total amount of </w:t>
      </w:r>
      <w:r w:rsidR="00EB2831" w:rsidRPr="00C623B3">
        <w:rPr>
          <w:rFonts w:cstheme="minorHAnsi"/>
        </w:rPr>
        <w:t xml:space="preserve">US$ </w:t>
      </w:r>
      <w:r w:rsidR="00BE5440" w:rsidRPr="00C623B3">
        <w:rPr>
          <w:rFonts w:cstheme="minorHAnsi"/>
        </w:rPr>
        <w:t>0.14 million.  As for the rest of the tenders, work is still ongoing.</w:t>
      </w:r>
    </w:p>
    <w:p w14:paraId="18E2A215" w14:textId="5895EAC0" w:rsidR="009338B2" w:rsidRPr="007B671A" w:rsidRDefault="009338B2" w:rsidP="00CF2028">
      <w:pPr>
        <w:jc w:val="both"/>
        <w:rPr>
          <w:rFonts w:cstheme="minorHAnsi"/>
        </w:rPr>
      </w:pPr>
      <w:r w:rsidRPr="007B671A">
        <w:rPr>
          <w:rFonts w:cstheme="minorHAnsi"/>
        </w:rPr>
        <w:t>Results for the last 3 years:</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8"/>
        <w:gridCol w:w="2148"/>
        <w:gridCol w:w="1778"/>
        <w:gridCol w:w="1963"/>
        <w:gridCol w:w="1963"/>
      </w:tblGrid>
      <w:tr w:rsidR="007B671A" w:rsidRPr="007B671A" w14:paraId="2891C2B6" w14:textId="77777777" w:rsidTr="009338B2">
        <w:trPr>
          <w:trHeight w:val="300"/>
          <w:jc w:val="center"/>
        </w:trPr>
        <w:tc>
          <w:tcPr>
            <w:tcW w:w="1958" w:type="dxa"/>
            <w:vMerge w:val="restart"/>
            <w:shd w:val="clear" w:color="auto" w:fill="auto"/>
            <w:noWrap/>
            <w:tcMar>
              <w:top w:w="0" w:type="dxa"/>
              <w:left w:w="108" w:type="dxa"/>
              <w:bottom w:w="0" w:type="dxa"/>
              <w:right w:w="108" w:type="dxa"/>
            </w:tcMar>
            <w:vAlign w:val="center"/>
            <w:hideMark/>
          </w:tcPr>
          <w:p w14:paraId="4A801669" w14:textId="2C3A3BAE" w:rsidR="009338B2" w:rsidRPr="007B671A" w:rsidRDefault="006D703D" w:rsidP="009338B2">
            <w:pPr>
              <w:spacing w:after="0" w:line="240" w:lineRule="auto"/>
              <w:jc w:val="center"/>
              <w:rPr>
                <w:rFonts w:eastAsia="Calibri" w:cstheme="minorHAnsi"/>
                <w:b/>
                <w:bCs/>
                <w:lang w:val="ru-RU"/>
              </w:rPr>
            </w:pPr>
            <w:r w:rsidRPr="007B671A">
              <w:rPr>
                <w:rFonts w:eastAsia="Calibri" w:cstheme="minorHAnsi"/>
                <w:b/>
                <w:bCs/>
              </w:rPr>
              <w:t>K</w:t>
            </w:r>
            <w:r w:rsidR="009338B2" w:rsidRPr="007B671A">
              <w:rPr>
                <w:rFonts w:eastAsia="Calibri" w:cstheme="minorHAnsi"/>
                <w:b/>
                <w:bCs/>
              </w:rPr>
              <w:t>Z Tender</w:t>
            </w:r>
          </w:p>
        </w:tc>
        <w:tc>
          <w:tcPr>
            <w:tcW w:w="3926" w:type="dxa"/>
            <w:gridSpan w:val="2"/>
            <w:shd w:val="clear" w:color="auto" w:fill="auto"/>
            <w:noWrap/>
            <w:tcMar>
              <w:top w:w="0" w:type="dxa"/>
              <w:left w:w="108" w:type="dxa"/>
              <w:bottom w:w="0" w:type="dxa"/>
              <w:right w:w="108" w:type="dxa"/>
            </w:tcMar>
            <w:vAlign w:val="center"/>
            <w:hideMark/>
          </w:tcPr>
          <w:p w14:paraId="2EE8A106" w14:textId="6BC56FD1" w:rsidR="009338B2" w:rsidRPr="007B671A" w:rsidRDefault="009338B2" w:rsidP="009338B2">
            <w:pPr>
              <w:spacing w:after="0" w:line="240" w:lineRule="auto"/>
              <w:jc w:val="center"/>
              <w:rPr>
                <w:rFonts w:eastAsia="Calibri" w:cstheme="minorHAnsi"/>
                <w:b/>
                <w:bCs/>
                <w:lang w:val="ru-RU"/>
              </w:rPr>
            </w:pPr>
            <w:r w:rsidRPr="007B671A">
              <w:rPr>
                <w:rFonts w:eastAsia="Calibri" w:cstheme="minorHAnsi"/>
                <w:b/>
                <w:bCs/>
              </w:rPr>
              <w:t>Initiated</w:t>
            </w:r>
          </w:p>
        </w:tc>
        <w:tc>
          <w:tcPr>
            <w:tcW w:w="3926" w:type="dxa"/>
            <w:gridSpan w:val="2"/>
            <w:shd w:val="clear" w:color="auto" w:fill="auto"/>
            <w:noWrap/>
            <w:tcMar>
              <w:top w:w="0" w:type="dxa"/>
              <w:left w:w="108" w:type="dxa"/>
              <w:bottom w:w="0" w:type="dxa"/>
              <w:right w:w="108" w:type="dxa"/>
            </w:tcMar>
            <w:vAlign w:val="center"/>
            <w:hideMark/>
          </w:tcPr>
          <w:p w14:paraId="2D7625B8" w14:textId="28756DA2" w:rsidR="009338B2" w:rsidRPr="007B671A" w:rsidRDefault="009338B2" w:rsidP="009338B2">
            <w:pPr>
              <w:spacing w:after="0" w:line="240" w:lineRule="auto"/>
              <w:jc w:val="center"/>
              <w:rPr>
                <w:rFonts w:eastAsia="Calibri" w:cstheme="minorHAnsi"/>
                <w:b/>
                <w:bCs/>
                <w:lang w:val="ru-RU"/>
              </w:rPr>
            </w:pPr>
            <w:r w:rsidRPr="007B671A">
              <w:rPr>
                <w:rFonts w:eastAsia="Calibri" w:cstheme="minorHAnsi"/>
                <w:b/>
                <w:bCs/>
              </w:rPr>
              <w:t>Awarded Contracts</w:t>
            </w:r>
          </w:p>
        </w:tc>
      </w:tr>
      <w:tr w:rsidR="007B671A" w:rsidRPr="007B671A" w14:paraId="3438F6EF" w14:textId="77777777" w:rsidTr="00CB71A0">
        <w:trPr>
          <w:trHeight w:val="300"/>
          <w:jc w:val="center"/>
        </w:trPr>
        <w:tc>
          <w:tcPr>
            <w:tcW w:w="0" w:type="auto"/>
            <w:vMerge/>
            <w:shd w:val="clear" w:color="auto" w:fill="auto"/>
            <w:vAlign w:val="center"/>
            <w:hideMark/>
          </w:tcPr>
          <w:p w14:paraId="7AE782CD" w14:textId="77777777" w:rsidR="00C75A78" w:rsidRPr="007B671A" w:rsidRDefault="00C75A78" w:rsidP="009338B2">
            <w:pPr>
              <w:spacing w:after="0" w:line="240" w:lineRule="auto"/>
              <w:rPr>
                <w:rFonts w:eastAsia="Calibri" w:cstheme="minorHAnsi"/>
                <w:b/>
                <w:bCs/>
              </w:rPr>
            </w:pPr>
          </w:p>
        </w:tc>
        <w:tc>
          <w:tcPr>
            <w:tcW w:w="2148" w:type="dxa"/>
            <w:shd w:val="clear" w:color="auto" w:fill="auto"/>
            <w:tcMar>
              <w:top w:w="0" w:type="dxa"/>
              <w:left w:w="108" w:type="dxa"/>
              <w:bottom w:w="0" w:type="dxa"/>
              <w:right w:w="108" w:type="dxa"/>
            </w:tcMar>
            <w:vAlign w:val="center"/>
            <w:hideMark/>
          </w:tcPr>
          <w:p w14:paraId="5E237F18" w14:textId="5BB6E1B6" w:rsidR="00C75A78" w:rsidRPr="007B671A" w:rsidRDefault="00C75A78" w:rsidP="009338B2">
            <w:pPr>
              <w:spacing w:after="0" w:line="240" w:lineRule="auto"/>
              <w:jc w:val="center"/>
              <w:rPr>
                <w:rFonts w:eastAsia="Calibri" w:cstheme="minorHAnsi"/>
                <w:lang w:val="ru-RU"/>
              </w:rPr>
            </w:pPr>
            <w:r w:rsidRPr="007B671A">
              <w:rPr>
                <w:rFonts w:eastAsia="Calibri" w:cstheme="minorHAnsi"/>
              </w:rPr>
              <w:t>Quantity</w:t>
            </w:r>
          </w:p>
        </w:tc>
        <w:tc>
          <w:tcPr>
            <w:tcW w:w="1778" w:type="dxa"/>
            <w:shd w:val="clear" w:color="auto" w:fill="auto"/>
            <w:vAlign w:val="center"/>
          </w:tcPr>
          <w:p w14:paraId="28657F6D" w14:textId="478F1A60" w:rsidR="00C75A78" w:rsidRPr="007B671A" w:rsidRDefault="00CB71A0" w:rsidP="009338B2">
            <w:pPr>
              <w:spacing w:after="0" w:line="240" w:lineRule="auto"/>
              <w:jc w:val="center"/>
              <w:rPr>
                <w:rFonts w:eastAsia="Calibri" w:cstheme="minorHAnsi"/>
              </w:rPr>
            </w:pPr>
            <w:r w:rsidRPr="007B671A">
              <w:rPr>
                <w:rFonts w:eastAsia="Calibri" w:cstheme="minorHAnsi"/>
              </w:rPr>
              <w:t>Amount</w:t>
            </w:r>
            <w:r w:rsidR="00531F03" w:rsidRPr="007B671A">
              <w:rPr>
                <w:rFonts w:eastAsia="Calibri" w:cstheme="minorHAnsi"/>
              </w:rPr>
              <w:t xml:space="preserve"> of request</w:t>
            </w:r>
          </w:p>
          <w:p w14:paraId="5E69C0F1" w14:textId="7A356113" w:rsidR="00CB71A0" w:rsidRPr="007B671A" w:rsidRDefault="00CB71A0" w:rsidP="009338B2">
            <w:pPr>
              <w:spacing w:after="0" w:line="240" w:lineRule="auto"/>
              <w:jc w:val="center"/>
              <w:rPr>
                <w:rFonts w:eastAsia="Calibri" w:cstheme="minorHAnsi"/>
              </w:rPr>
            </w:pPr>
            <w:r w:rsidRPr="007B671A">
              <w:rPr>
                <w:rFonts w:eastAsia="Calibri" w:cstheme="minorHAnsi"/>
              </w:rPr>
              <w:t>in US$</w:t>
            </w:r>
          </w:p>
        </w:tc>
        <w:tc>
          <w:tcPr>
            <w:tcW w:w="1963" w:type="dxa"/>
            <w:shd w:val="clear" w:color="auto" w:fill="auto"/>
            <w:noWrap/>
            <w:tcMar>
              <w:top w:w="0" w:type="dxa"/>
              <w:left w:w="108" w:type="dxa"/>
              <w:bottom w:w="0" w:type="dxa"/>
              <w:right w:w="108" w:type="dxa"/>
            </w:tcMar>
            <w:vAlign w:val="center"/>
            <w:hideMark/>
          </w:tcPr>
          <w:p w14:paraId="12CFB69B" w14:textId="4D5203D4" w:rsidR="00C75A78" w:rsidRPr="007B671A" w:rsidRDefault="00C75A78" w:rsidP="009338B2">
            <w:pPr>
              <w:spacing w:after="0" w:line="240" w:lineRule="auto"/>
              <w:jc w:val="center"/>
              <w:rPr>
                <w:rFonts w:eastAsia="Calibri" w:cstheme="minorHAnsi"/>
                <w:lang w:val="ru-RU"/>
              </w:rPr>
            </w:pPr>
            <w:r w:rsidRPr="007B671A">
              <w:rPr>
                <w:rFonts w:eastAsia="Calibri" w:cstheme="minorHAnsi"/>
              </w:rPr>
              <w:t>Quantity</w:t>
            </w:r>
          </w:p>
        </w:tc>
        <w:tc>
          <w:tcPr>
            <w:tcW w:w="1963" w:type="dxa"/>
            <w:shd w:val="clear" w:color="auto" w:fill="auto"/>
            <w:noWrap/>
            <w:tcMar>
              <w:top w:w="0" w:type="dxa"/>
              <w:left w:w="108" w:type="dxa"/>
              <w:bottom w:w="0" w:type="dxa"/>
              <w:right w:w="108" w:type="dxa"/>
            </w:tcMar>
            <w:vAlign w:val="center"/>
            <w:hideMark/>
          </w:tcPr>
          <w:p w14:paraId="459D0797" w14:textId="67A0ABBC" w:rsidR="00C75A78" w:rsidRPr="007B671A" w:rsidRDefault="00C75A78" w:rsidP="009338B2">
            <w:pPr>
              <w:spacing w:after="0" w:line="240" w:lineRule="auto"/>
              <w:jc w:val="center"/>
              <w:rPr>
                <w:rFonts w:eastAsia="Calibri" w:cstheme="minorHAnsi"/>
              </w:rPr>
            </w:pPr>
            <w:r w:rsidRPr="007B671A">
              <w:rPr>
                <w:rFonts w:eastAsia="Calibri" w:cstheme="minorHAnsi"/>
              </w:rPr>
              <w:t xml:space="preserve">The total amount of the contract in </w:t>
            </w:r>
            <w:r w:rsidR="00531F03" w:rsidRPr="007B671A">
              <w:rPr>
                <w:rFonts w:eastAsia="Calibri" w:cstheme="minorHAnsi"/>
              </w:rPr>
              <w:t>US$</w:t>
            </w:r>
          </w:p>
        </w:tc>
      </w:tr>
      <w:tr w:rsidR="007B671A" w:rsidRPr="007B671A" w14:paraId="2B8568C8" w14:textId="77777777" w:rsidTr="00CB71A0">
        <w:trPr>
          <w:trHeight w:val="300"/>
          <w:jc w:val="center"/>
        </w:trPr>
        <w:tc>
          <w:tcPr>
            <w:tcW w:w="0" w:type="auto"/>
            <w:shd w:val="clear" w:color="auto" w:fill="auto"/>
            <w:vAlign w:val="center"/>
          </w:tcPr>
          <w:p w14:paraId="491E0030" w14:textId="126751FB" w:rsidR="00C75A78" w:rsidRPr="007B671A" w:rsidRDefault="00C75A78" w:rsidP="009338B2">
            <w:pPr>
              <w:spacing w:after="0" w:line="240" w:lineRule="auto"/>
              <w:jc w:val="center"/>
              <w:rPr>
                <w:rFonts w:eastAsia="Calibri" w:cstheme="minorHAnsi"/>
                <w:bCs/>
              </w:rPr>
            </w:pPr>
            <w:r w:rsidRPr="007B671A">
              <w:rPr>
                <w:rFonts w:eastAsia="Calibri" w:cstheme="minorHAnsi"/>
                <w:bCs/>
              </w:rPr>
              <w:t>2021</w:t>
            </w:r>
          </w:p>
        </w:tc>
        <w:tc>
          <w:tcPr>
            <w:tcW w:w="2148" w:type="dxa"/>
            <w:shd w:val="clear" w:color="auto" w:fill="auto"/>
            <w:tcMar>
              <w:top w:w="0" w:type="dxa"/>
              <w:left w:w="108" w:type="dxa"/>
              <w:bottom w:w="0" w:type="dxa"/>
              <w:right w:w="108" w:type="dxa"/>
            </w:tcMar>
            <w:vAlign w:val="center"/>
          </w:tcPr>
          <w:p w14:paraId="1EF9FE3E" w14:textId="183E626C" w:rsidR="00C75A78" w:rsidRPr="007B671A" w:rsidRDefault="00C75A78" w:rsidP="009338B2">
            <w:pPr>
              <w:spacing w:after="0" w:line="240" w:lineRule="auto"/>
              <w:jc w:val="center"/>
              <w:rPr>
                <w:rFonts w:eastAsia="Calibri" w:cstheme="minorHAnsi"/>
                <w:lang w:val="ru-RU"/>
              </w:rPr>
            </w:pPr>
            <w:r w:rsidRPr="007B671A">
              <w:rPr>
                <w:rFonts w:eastAsia="Calibri" w:cstheme="minorHAnsi"/>
              </w:rPr>
              <w:t>12</w:t>
            </w:r>
          </w:p>
        </w:tc>
        <w:tc>
          <w:tcPr>
            <w:tcW w:w="1778" w:type="dxa"/>
            <w:shd w:val="clear" w:color="auto" w:fill="auto"/>
            <w:vAlign w:val="center"/>
          </w:tcPr>
          <w:p w14:paraId="60798AF9" w14:textId="5A7F132E" w:rsidR="00C75A78" w:rsidRPr="007B671A" w:rsidRDefault="00561004" w:rsidP="00C75A78">
            <w:pPr>
              <w:spacing w:after="0" w:line="240" w:lineRule="auto"/>
              <w:jc w:val="center"/>
              <w:rPr>
                <w:rFonts w:eastAsia="Calibri" w:cstheme="minorHAnsi"/>
                <w:lang w:val="ru-RU"/>
              </w:rPr>
            </w:pPr>
            <w:r w:rsidRPr="007B671A">
              <w:rPr>
                <w:rFonts w:eastAsia="Calibri" w:cstheme="minorHAnsi"/>
                <w:b/>
                <w:bCs/>
              </w:rPr>
              <w:t>50,2</w:t>
            </w:r>
          </w:p>
        </w:tc>
        <w:tc>
          <w:tcPr>
            <w:tcW w:w="1963" w:type="dxa"/>
            <w:shd w:val="clear" w:color="auto" w:fill="auto"/>
            <w:noWrap/>
            <w:tcMar>
              <w:top w:w="0" w:type="dxa"/>
              <w:left w:w="108" w:type="dxa"/>
              <w:bottom w:w="0" w:type="dxa"/>
              <w:right w:w="108" w:type="dxa"/>
            </w:tcMar>
            <w:vAlign w:val="center"/>
          </w:tcPr>
          <w:p w14:paraId="779B4AF7" w14:textId="300F92A5" w:rsidR="00C75A78" w:rsidRPr="007B671A" w:rsidRDefault="00C75A78" w:rsidP="009338B2">
            <w:pPr>
              <w:spacing w:after="0" w:line="240" w:lineRule="auto"/>
              <w:jc w:val="center"/>
              <w:rPr>
                <w:rFonts w:eastAsia="Calibri" w:cstheme="minorHAnsi"/>
                <w:lang w:val="ru-RU"/>
              </w:rPr>
            </w:pPr>
            <w:r w:rsidRPr="007B671A">
              <w:rPr>
                <w:rFonts w:eastAsia="Calibri" w:cstheme="minorHAnsi"/>
              </w:rPr>
              <w:t>11</w:t>
            </w:r>
          </w:p>
        </w:tc>
        <w:tc>
          <w:tcPr>
            <w:tcW w:w="1963" w:type="dxa"/>
            <w:shd w:val="clear" w:color="auto" w:fill="auto"/>
            <w:noWrap/>
            <w:tcMar>
              <w:top w:w="0" w:type="dxa"/>
              <w:left w:w="108" w:type="dxa"/>
              <w:bottom w:w="0" w:type="dxa"/>
              <w:right w:w="108" w:type="dxa"/>
            </w:tcMar>
            <w:vAlign w:val="center"/>
          </w:tcPr>
          <w:p w14:paraId="1B97D9A6" w14:textId="56CEA8C8" w:rsidR="00C75A78" w:rsidRPr="007B671A" w:rsidRDefault="00C75A78" w:rsidP="009338B2">
            <w:pPr>
              <w:spacing w:after="0" w:line="240" w:lineRule="auto"/>
              <w:jc w:val="center"/>
              <w:rPr>
                <w:rFonts w:eastAsia="Calibri" w:cstheme="minorHAnsi"/>
                <w:b/>
                <w:lang w:val="ru-RU"/>
              </w:rPr>
            </w:pPr>
            <w:r w:rsidRPr="007B671A">
              <w:rPr>
                <w:rFonts w:eastAsia="Calibri" w:cstheme="minorHAnsi"/>
                <w:b/>
              </w:rPr>
              <w:t>22,2</w:t>
            </w:r>
          </w:p>
        </w:tc>
      </w:tr>
      <w:tr w:rsidR="007B671A" w:rsidRPr="007B671A" w14:paraId="30875834" w14:textId="77777777" w:rsidTr="00CB71A0">
        <w:trPr>
          <w:trHeight w:val="300"/>
          <w:jc w:val="center"/>
        </w:trPr>
        <w:tc>
          <w:tcPr>
            <w:tcW w:w="1958" w:type="dxa"/>
            <w:shd w:val="clear" w:color="auto" w:fill="auto"/>
            <w:noWrap/>
            <w:tcMar>
              <w:top w:w="0" w:type="dxa"/>
              <w:left w:w="108" w:type="dxa"/>
              <w:bottom w:w="0" w:type="dxa"/>
              <w:right w:w="108" w:type="dxa"/>
            </w:tcMar>
            <w:vAlign w:val="center"/>
            <w:hideMark/>
          </w:tcPr>
          <w:p w14:paraId="086608D1" w14:textId="77777777" w:rsidR="00C75A78" w:rsidRPr="007B671A" w:rsidRDefault="00C75A78" w:rsidP="009338B2">
            <w:pPr>
              <w:spacing w:after="0" w:line="240" w:lineRule="auto"/>
              <w:jc w:val="center"/>
              <w:rPr>
                <w:rFonts w:eastAsia="Calibri" w:cstheme="minorHAnsi"/>
              </w:rPr>
            </w:pPr>
            <w:r w:rsidRPr="007B671A">
              <w:rPr>
                <w:rFonts w:eastAsia="Calibri" w:cstheme="minorHAnsi"/>
              </w:rPr>
              <w:t>2022</w:t>
            </w:r>
          </w:p>
        </w:tc>
        <w:tc>
          <w:tcPr>
            <w:tcW w:w="2148" w:type="dxa"/>
            <w:shd w:val="clear" w:color="auto" w:fill="auto"/>
            <w:noWrap/>
            <w:tcMar>
              <w:top w:w="0" w:type="dxa"/>
              <w:left w:w="108" w:type="dxa"/>
              <w:bottom w:w="0" w:type="dxa"/>
              <w:right w:w="108" w:type="dxa"/>
            </w:tcMar>
            <w:vAlign w:val="center"/>
            <w:hideMark/>
          </w:tcPr>
          <w:p w14:paraId="67B9B021" w14:textId="336D4C13" w:rsidR="00C75A78" w:rsidRPr="007B671A" w:rsidRDefault="00C75A78" w:rsidP="009338B2">
            <w:pPr>
              <w:spacing w:after="0" w:line="240" w:lineRule="auto"/>
              <w:jc w:val="center"/>
              <w:rPr>
                <w:rFonts w:eastAsia="Calibri" w:cstheme="minorHAnsi"/>
                <w:b/>
                <w:bCs/>
              </w:rPr>
            </w:pPr>
            <w:r w:rsidRPr="007B671A">
              <w:rPr>
                <w:rFonts w:eastAsia="Calibri" w:cstheme="minorHAnsi"/>
              </w:rPr>
              <w:t>10</w:t>
            </w:r>
          </w:p>
        </w:tc>
        <w:tc>
          <w:tcPr>
            <w:tcW w:w="1778" w:type="dxa"/>
            <w:shd w:val="clear" w:color="auto" w:fill="auto"/>
            <w:vAlign w:val="center"/>
          </w:tcPr>
          <w:p w14:paraId="13758A03" w14:textId="420056A8" w:rsidR="00C75A78" w:rsidRPr="007B671A" w:rsidRDefault="00561004" w:rsidP="00C75A78">
            <w:pPr>
              <w:spacing w:after="0" w:line="240" w:lineRule="auto"/>
              <w:jc w:val="center"/>
              <w:rPr>
                <w:rFonts w:eastAsia="Calibri" w:cstheme="minorHAnsi"/>
                <w:b/>
                <w:bCs/>
                <w:lang w:val="ru-RU"/>
              </w:rPr>
            </w:pPr>
            <w:r w:rsidRPr="007B671A">
              <w:rPr>
                <w:rFonts w:eastAsia="Calibri" w:cstheme="minorHAnsi"/>
                <w:b/>
                <w:bCs/>
              </w:rPr>
              <w:t>383,8</w:t>
            </w:r>
          </w:p>
        </w:tc>
        <w:tc>
          <w:tcPr>
            <w:tcW w:w="1963" w:type="dxa"/>
            <w:shd w:val="clear" w:color="auto" w:fill="auto"/>
            <w:noWrap/>
            <w:tcMar>
              <w:top w:w="0" w:type="dxa"/>
              <w:left w:w="108" w:type="dxa"/>
              <w:bottom w:w="0" w:type="dxa"/>
              <w:right w:w="108" w:type="dxa"/>
            </w:tcMar>
            <w:vAlign w:val="center"/>
            <w:hideMark/>
          </w:tcPr>
          <w:p w14:paraId="59A6D753" w14:textId="077E4DA6" w:rsidR="00C75A78" w:rsidRPr="007B671A" w:rsidRDefault="00C75A78" w:rsidP="009338B2">
            <w:pPr>
              <w:spacing w:after="0" w:line="240" w:lineRule="auto"/>
              <w:jc w:val="center"/>
              <w:rPr>
                <w:rFonts w:eastAsia="Calibri" w:cstheme="minorHAnsi"/>
              </w:rPr>
            </w:pPr>
            <w:r w:rsidRPr="007B671A">
              <w:rPr>
                <w:rFonts w:eastAsia="Calibri" w:cstheme="minorHAnsi"/>
              </w:rPr>
              <w:t>6</w:t>
            </w:r>
          </w:p>
        </w:tc>
        <w:tc>
          <w:tcPr>
            <w:tcW w:w="1963" w:type="dxa"/>
            <w:shd w:val="clear" w:color="auto" w:fill="auto"/>
            <w:noWrap/>
            <w:tcMar>
              <w:top w:w="0" w:type="dxa"/>
              <w:left w:w="108" w:type="dxa"/>
              <w:bottom w:w="0" w:type="dxa"/>
              <w:right w:w="108" w:type="dxa"/>
            </w:tcMar>
            <w:vAlign w:val="center"/>
            <w:hideMark/>
          </w:tcPr>
          <w:p w14:paraId="709F7639" w14:textId="68B95992" w:rsidR="00C75A78" w:rsidRPr="007B671A" w:rsidRDefault="00C75A78" w:rsidP="009338B2">
            <w:pPr>
              <w:spacing w:after="0" w:line="240" w:lineRule="auto"/>
              <w:jc w:val="center"/>
              <w:rPr>
                <w:rFonts w:eastAsia="Calibri" w:cstheme="minorHAnsi"/>
                <w:b/>
                <w:bCs/>
              </w:rPr>
            </w:pPr>
            <w:r w:rsidRPr="007B671A">
              <w:rPr>
                <w:rFonts w:eastAsia="Calibri" w:cstheme="minorHAnsi"/>
                <w:b/>
                <w:bCs/>
              </w:rPr>
              <w:t>62,7</w:t>
            </w:r>
          </w:p>
        </w:tc>
      </w:tr>
      <w:tr w:rsidR="007B671A" w:rsidRPr="007B671A" w14:paraId="6443348E" w14:textId="77777777" w:rsidTr="00CB71A0">
        <w:trPr>
          <w:trHeight w:val="300"/>
          <w:jc w:val="center"/>
        </w:trPr>
        <w:tc>
          <w:tcPr>
            <w:tcW w:w="1958" w:type="dxa"/>
            <w:shd w:val="clear" w:color="auto" w:fill="auto"/>
            <w:noWrap/>
            <w:tcMar>
              <w:top w:w="0" w:type="dxa"/>
              <w:left w:w="108" w:type="dxa"/>
              <w:bottom w:w="0" w:type="dxa"/>
              <w:right w:w="108" w:type="dxa"/>
            </w:tcMar>
            <w:vAlign w:val="center"/>
            <w:hideMark/>
          </w:tcPr>
          <w:p w14:paraId="534F8128" w14:textId="77777777" w:rsidR="00C75A78" w:rsidRPr="007B671A" w:rsidRDefault="00C75A78" w:rsidP="009338B2">
            <w:pPr>
              <w:spacing w:after="0" w:line="240" w:lineRule="auto"/>
              <w:jc w:val="center"/>
              <w:rPr>
                <w:rFonts w:eastAsia="Calibri" w:cstheme="minorHAnsi"/>
              </w:rPr>
            </w:pPr>
            <w:r w:rsidRPr="007B671A">
              <w:rPr>
                <w:rFonts w:eastAsia="Calibri" w:cstheme="minorHAnsi"/>
              </w:rPr>
              <w:t>2023</w:t>
            </w:r>
          </w:p>
        </w:tc>
        <w:tc>
          <w:tcPr>
            <w:tcW w:w="2148" w:type="dxa"/>
            <w:shd w:val="clear" w:color="auto" w:fill="auto"/>
            <w:noWrap/>
            <w:tcMar>
              <w:top w:w="0" w:type="dxa"/>
              <w:left w:w="108" w:type="dxa"/>
              <w:bottom w:w="0" w:type="dxa"/>
              <w:right w:w="108" w:type="dxa"/>
            </w:tcMar>
            <w:vAlign w:val="center"/>
            <w:hideMark/>
          </w:tcPr>
          <w:p w14:paraId="175972F0" w14:textId="189C61B1" w:rsidR="00C75A78" w:rsidRPr="007B671A" w:rsidRDefault="00C75A78" w:rsidP="009338B2">
            <w:pPr>
              <w:spacing w:after="0" w:line="240" w:lineRule="auto"/>
              <w:jc w:val="center"/>
              <w:rPr>
                <w:rFonts w:eastAsia="Calibri" w:cstheme="minorHAnsi"/>
                <w:b/>
                <w:bCs/>
              </w:rPr>
            </w:pPr>
            <w:r w:rsidRPr="007B671A">
              <w:rPr>
                <w:rFonts w:eastAsia="Calibri" w:cstheme="minorHAnsi"/>
              </w:rPr>
              <w:t>7</w:t>
            </w:r>
          </w:p>
        </w:tc>
        <w:tc>
          <w:tcPr>
            <w:tcW w:w="1778" w:type="dxa"/>
            <w:shd w:val="clear" w:color="auto" w:fill="auto"/>
            <w:vAlign w:val="center"/>
          </w:tcPr>
          <w:p w14:paraId="4E9E41CD" w14:textId="0F529464" w:rsidR="00C75A78" w:rsidRPr="007B671A" w:rsidRDefault="00561004" w:rsidP="00C75A78">
            <w:pPr>
              <w:spacing w:after="0" w:line="240" w:lineRule="auto"/>
              <w:jc w:val="center"/>
              <w:rPr>
                <w:rFonts w:eastAsia="Calibri" w:cstheme="minorHAnsi"/>
                <w:b/>
                <w:bCs/>
                <w:lang w:val="ru-RU"/>
              </w:rPr>
            </w:pPr>
            <w:r w:rsidRPr="007B671A">
              <w:rPr>
                <w:rFonts w:eastAsia="Calibri" w:cstheme="minorHAnsi"/>
                <w:b/>
                <w:bCs/>
              </w:rPr>
              <w:t>60,5</w:t>
            </w:r>
          </w:p>
        </w:tc>
        <w:tc>
          <w:tcPr>
            <w:tcW w:w="1963" w:type="dxa"/>
            <w:shd w:val="clear" w:color="auto" w:fill="auto"/>
            <w:noWrap/>
            <w:tcMar>
              <w:top w:w="0" w:type="dxa"/>
              <w:left w:w="108" w:type="dxa"/>
              <w:bottom w:w="0" w:type="dxa"/>
              <w:right w:w="108" w:type="dxa"/>
            </w:tcMar>
            <w:vAlign w:val="center"/>
            <w:hideMark/>
          </w:tcPr>
          <w:p w14:paraId="5D9B18A2" w14:textId="35BA7EC6" w:rsidR="00C75A78" w:rsidRPr="007B671A" w:rsidRDefault="00C75A78" w:rsidP="009338B2">
            <w:pPr>
              <w:spacing w:after="0" w:line="240" w:lineRule="auto"/>
              <w:jc w:val="center"/>
              <w:rPr>
                <w:rFonts w:eastAsia="Calibri" w:cstheme="minorHAnsi"/>
              </w:rPr>
            </w:pPr>
            <w:r w:rsidRPr="007B671A">
              <w:rPr>
                <w:rFonts w:eastAsia="Calibri" w:cstheme="minorHAnsi"/>
              </w:rPr>
              <w:t>1</w:t>
            </w:r>
          </w:p>
        </w:tc>
        <w:tc>
          <w:tcPr>
            <w:tcW w:w="1963" w:type="dxa"/>
            <w:shd w:val="clear" w:color="auto" w:fill="auto"/>
            <w:noWrap/>
            <w:tcMar>
              <w:top w:w="0" w:type="dxa"/>
              <w:left w:w="108" w:type="dxa"/>
              <w:bottom w:w="0" w:type="dxa"/>
              <w:right w:w="108" w:type="dxa"/>
            </w:tcMar>
            <w:vAlign w:val="center"/>
            <w:hideMark/>
          </w:tcPr>
          <w:p w14:paraId="220CE894" w14:textId="1A7AE4AC" w:rsidR="00C75A78" w:rsidRPr="007B671A" w:rsidRDefault="00C75A78" w:rsidP="009338B2">
            <w:pPr>
              <w:spacing w:after="0" w:line="240" w:lineRule="auto"/>
              <w:jc w:val="center"/>
              <w:rPr>
                <w:rFonts w:eastAsia="Calibri" w:cstheme="minorHAnsi"/>
                <w:b/>
                <w:bCs/>
              </w:rPr>
            </w:pPr>
            <w:r w:rsidRPr="007B671A">
              <w:rPr>
                <w:rFonts w:eastAsia="Calibri" w:cstheme="minorHAnsi"/>
                <w:b/>
                <w:bCs/>
              </w:rPr>
              <w:t>0,14</w:t>
            </w:r>
          </w:p>
        </w:tc>
      </w:tr>
    </w:tbl>
    <w:p w14:paraId="57108329" w14:textId="77777777" w:rsidR="003D35CA" w:rsidRDefault="003D35CA" w:rsidP="007F0FC8">
      <w:pPr>
        <w:spacing w:before="120" w:after="120"/>
        <w:jc w:val="both"/>
        <w:rPr>
          <w:rFonts w:eastAsia="Calibri" w:cstheme="minorHAnsi"/>
          <w:lang w:eastAsia="ru-RU" w:bidi="ru-RU"/>
        </w:rPr>
      </w:pPr>
    </w:p>
    <w:p w14:paraId="6807C147" w14:textId="34E52D88" w:rsidR="007F0FC8" w:rsidRPr="00612B86" w:rsidRDefault="007F0FC8" w:rsidP="007F0FC8">
      <w:pPr>
        <w:spacing w:before="120" w:after="120"/>
        <w:jc w:val="both"/>
        <w:rPr>
          <w:rFonts w:cstheme="minorHAnsi"/>
        </w:rPr>
      </w:pPr>
      <w:r w:rsidRPr="00612B86">
        <w:rPr>
          <w:rFonts w:eastAsia="Calibri" w:cstheme="minorHAnsi"/>
          <w:lang w:eastAsia="ru-RU" w:bidi="ru-RU"/>
        </w:rPr>
        <w:t>As part of the work to strengthen the sustainable development of commodity producers in the region of its presence - West Kazakhstan region (W</w:t>
      </w:r>
      <w:r w:rsidR="00FA6121" w:rsidRPr="00612B86">
        <w:rPr>
          <w:rFonts w:eastAsia="Calibri" w:cstheme="minorHAnsi"/>
          <w:lang w:eastAsia="ru-RU" w:bidi="ru-RU"/>
        </w:rPr>
        <w:t>K</w:t>
      </w:r>
      <w:r w:rsidRPr="00612B86">
        <w:rPr>
          <w:rFonts w:eastAsia="Calibri" w:cstheme="minorHAnsi"/>
          <w:lang w:eastAsia="ru-RU" w:bidi="ru-RU"/>
        </w:rPr>
        <w:t xml:space="preserve">O), </w:t>
      </w:r>
      <w:r w:rsidR="00FA6121" w:rsidRPr="00612B86">
        <w:rPr>
          <w:rFonts w:eastAsia="Calibri" w:cstheme="minorHAnsi"/>
          <w:lang w:eastAsia="ru-RU" w:bidi="ru-RU"/>
        </w:rPr>
        <w:t>b</w:t>
      </w:r>
      <w:r w:rsidRPr="00612B86">
        <w:rPr>
          <w:rFonts w:cstheme="minorHAnsi"/>
        </w:rPr>
        <w:t xml:space="preserve">ased on the </w:t>
      </w:r>
      <w:r w:rsidRPr="00612B86">
        <w:rPr>
          <w:rFonts w:eastAsia="Calibri" w:cstheme="minorHAnsi"/>
          <w:lang w:eastAsia="ru-RU" w:bidi="ru-RU"/>
        </w:rPr>
        <w:t>results of 2023</w:t>
      </w:r>
      <w:r w:rsidRPr="00612B86">
        <w:rPr>
          <w:rFonts w:cstheme="minorHAnsi"/>
        </w:rPr>
        <w:t xml:space="preserve"> KPO paid </w:t>
      </w:r>
      <w:r w:rsidR="00023011" w:rsidRPr="00612B86">
        <w:rPr>
          <w:rFonts w:cstheme="minorHAnsi"/>
        </w:rPr>
        <w:t>US$</w:t>
      </w:r>
      <w:r w:rsidRPr="00612B86">
        <w:rPr>
          <w:rFonts w:cstheme="minorHAnsi"/>
        </w:rPr>
        <w:t xml:space="preserve"> 717.76 million to W</w:t>
      </w:r>
      <w:r w:rsidR="00FA6121" w:rsidRPr="00612B86">
        <w:rPr>
          <w:rFonts w:cstheme="minorHAnsi"/>
        </w:rPr>
        <w:t>K</w:t>
      </w:r>
      <w:r w:rsidRPr="00612B86">
        <w:rPr>
          <w:rFonts w:cstheme="minorHAnsi"/>
        </w:rPr>
        <w:t xml:space="preserve">O enterprises for the supply of goods, works and services, in which the share of local content amounted to </w:t>
      </w:r>
      <w:r w:rsidR="00023011" w:rsidRPr="00612B86">
        <w:rPr>
          <w:rFonts w:cstheme="minorHAnsi"/>
        </w:rPr>
        <w:t>US$</w:t>
      </w:r>
      <w:r w:rsidRPr="00612B86">
        <w:rPr>
          <w:rFonts w:cstheme="minorHAnsi"/>
        </w:rPr>
        <w:t xml:space="preserve"> 492.17 million</w:t>
      </w:r>
      <w:r w:rsidR="00023011" w:rsidRPr="00612B86">
        <w:rPr>
          <w:rFonts w:cstheme="minorHAnsi"/>
        </w:rPr>
        <w:t xml:space="preserve"> </w:t>
      </w:r>
      <w:r w:rsidRPr="00612B86">
        <w:rPr>
          <w:rFonts w:cstheme="minorHAnsi"/>
        </w:rPr>
        <w:t>or 68.6</w:t>
      </w:r>
      <w:r w:rsidRPr="00612B86">
        <w:rPr>
          <w:rFonts w:eastAsia="Calibri" w:cstheme="minorHAnsi"/>
          <w:lang w:eastAsia="ru-RU" w:bidi="ru-RU"/>
        </w:rPr>
        <w:t xml:space="preserve">%. </w:t>
      </w:r>
    </w:p>
    <w:p w14:paraId="5C938AFF" w14:textId="3E08DF54" w:rsidR="00AB035C" w:rsidRDefault="007F0FC8" w:rsidP="00CF2028">
      <w:pPr>
        <w:spacing w:before="120" w:after="120"/>
        <w:jc w:val="both"/>
        <w:rPr>
          <w:rFonts w:eastAsia="Calibri" w:cstheme="minorHAnsi"/>
          <w:lang w:eastAsia="ru-RU" w:bidi="ru-RU"/>
        </w:rPr>
      </w:pPr>
      <w:r w:rsidRPr="00612B86">
        <w:rPr>
          <w:rFonts w:eastAsia="Calibri" w:cstheme="minorHAnsi"/>
          <w:lang w:eastAsia="ru-RU" w:bidi="ru-RU"/>
        </w:rPr>
        <w:t>In addition, the Company regularly invites enterprises of the West Kazakhstan region, including enterprises of the machine-building sector, to participate in market research and tenders for the supply of goods, works and services, as well as to various events held by the Company in order to develop and increase the competitiveness of local business.   Below are the results for 2023:</w:t>
      </w:r>
    </w:p>
    <w:p w14:paraId="756C7872" w14:textId="77777777" w:rsidR="003D35CA" w:rsidRPr="00612B86" w:rsidRDefault="003D35CA" w:rsidP="00CF2028">
      <w:pPr>
        <w:spacing w:before="120" w:after="120"/>
        <w:jc w:val="both"/>
        <w:rPr>
          <w:rFonts w:eastAsia="Calibri" w:cstheme="minorHAnsi"/>
          <w:lang w:val="ru-RU" w:eastAsia="ru-RU" w:bidi="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725"/>
        <w:gridCol w:w="1558"/>
        <w:gridCol w:w="1843"/>
        <w:gridCol w:w="1552"/>
        <w:gridCol w:w="1693"/>
      </w:tblGrid>
      <w:tr w:rsidR="00612B86" w:rsidRPr="00612B86" w14:paraId="74D08E57" w14:textId="316AD138" w:rsidTr="00602007">
        <w:trPr>
          <w:trHeight w:val="822"/>
          <w:jc w:val="center"/>
        </w:trPr>
        <w:tc>
          <w:tcPr>
            <w:tcW w:w="1259" w:type="dxa"/>
            <w:shd w:val="clear" w:color="auto" w:fill="auto"/>
            <w:noWrap/>
            <w:tcMar>
              <w:top w:w="0" w:type="dxa"/>
              <w:left w:w="108" w:type="dxa"/>
              <w:bottom w:w="0" w:type="dxa"/>
              <w:right w:w="108" w:type="dxa"/>
            </w:tcMar>
            <w:vAlign w:val="center"/>
          </w:tcPr>
          <w:p w14:paraId="60287421" w14:textId="1A6DE97D" w:rsidR="00832553" w:rsidRPr="00612B86" w:rsidRDefault="00832553" w:rsidP="00DE7D9A">
            <w:pPr>
              <w:spacing w:after="0" w:line="240" w:lineRule="auto"/>
              <w:jc w:val="center"/>
              <w:rPr>
                <w:rFonts w:eastAsia="Calibri" w:cstheme="minorHAnsi"/>
                <w:b/>
                <w:bCs/>
                <w:lang w:val="ru-RU"/>
              </w:rPr>
            </w:pPr>
            <w:r w:rsidRPr="00612B86">
              <w:rPr>
                <w:rFonts w:eastAsia="Calibri" w:cstheme="minorHAnsi"/>
                <w:b/>
                <w:bCs/>
              </w:rPr>
              <w:t xml:space="preserve">Description </w:t>
            </w:r>
          </w:p>
        </w:tc>
        <w:tc>
          <w:tcPr>
            <w:tcW w:w="1725" w:type="dxa"/>
            <w:shd w:val="clear" w:color="auto" w:fill="auto"/>
            <w:noWrap/>
            <w:tcMar>
              <w:top w:w="0" w:type="dxa"/>
              <w:left w:w="108" w:type="dxa"/>
              <w:bottom w:w="0" w:type="dxa"/>
              <w:right w:w="108" w:type="dxa"/>
            </w:tcMar>
            <w:vAlign w:val="center"/>
          </w:tcPr>
          <w:p w14:paraId="2CD7BF90" w14:textId="1EE90F96" w:rsidR="00832553" w:rsidRPr="00612B86" w:rsidRDefault="00832553" w:rsidP="00DE7D9A">
            <w:pPr>
              <w:spacing w:after="0" w:line="240" w:lineRule="auto"/>
              <w:jc w:val="center"/>
              <w:rPr>
                <w:rFonts w:eastAsia="Calibri" w:cstheme="minorHAnsi"/>
                <w:b/>
                <w:bCs/>
                <w:lang w:val="ru-RU"/>
              </w:rPr>
            </w:pPr>
            <w:r w:rsidRPr="00612B86">
              <w:rPr>
                <w:rFonts w:eastAsia="Calibri" w:cstheme="minorHAnsi"/>
                <w:b/>
                <w:bCs/>
              </w:rPr>
              <w:t>Quantity</w:t>
            </w:r>
            <w:r w:rsidR="00BE0E86" w:rsidRPr="00612B86">
              <w:rPr>
                <w:rFonts w:eastAsia="Calibri" w:cstheme="minorHAnsi"/>
                <w:b/>
                <w:bCs/>
                <w:lang w:val="ru-RU"/>
              </w:rPr>
              <w:t xml:space="preserve"> </w:t>
            </w:r>
            <w:r w:rsidR="00BE0E86" w:rsidRPr="00612B86">
              <w:rPr>
                <w:rFonts w:eastAsia="Calibri" w:cstheme="minorHAnsi"/>
                <w:b/>
                <w:bCs/>
                <w:lang w:val="en-US"/>
              </w:rPr>
              <w:t>of</w:t>
            </w:r>
            <w:r w:rsidRPr="00612B86">
              <w:rPr>
                <w:rFonts w:eastAsia="Calibri" w:cstheme="minorHAnsi"/>
                <w:b/>
                <w:bCs/>
              </w:rPr>
              <w:t xml:space="preserve"> </w:t>
            </w:r>
          </w:p>
          <w:p w14:paraId="0AFBFE41" w14:textId="59CA40EF" w:rsidR="00832553" w:rsidRPr="00612B86" w:rsidRDefault="00832553" w:rsidP="00DE7D9A">
            <w:pPr>
              <w:spacing w:after="0" w:line="240" w:lineRule="auto"/>
              <w:jc w:val="center"/>
              <w:rPr>
                <w:rFonts w:eastAsia="Calibri" w:cstheme="minorHAnsi"/>
                <w:b/>
                <w:bCs/>
                <w:lang w:val="ru-RU"/>
              </w:rPr>
            </w:pPr>
            <w:r w:rsidRPr="00612B86">
              <w:rPr>
                <w:rFonts w:eastAsia="Calibri" w:cstheme="minorHAnsi"/>
                <w:b/>
                <w:bCs/>
              </w:rPr>
              <w:t>Contracts</w:t>
            </w:r>
          </w:p>
        </w:tc>
        <w:tc>
          <w:tcPr>
            <w:tcW w:w="1559" w:type="dxa"/>
            <w:shd w:val="clear" w:color="auto" w:fill="auto"/>
            <w:vAlign w:val="center"/>
          </w:tcPr>
          <w:p w14:paraId="300EF545" w14:textId="73566A7A" w:rsidR="00832553" w:rsidRPr="00612B86" w:rsidRDefault="00832553" w:rsidP="00DE7D9A">
            <w:pPr>
              <w:spacing w:after="0" w:line="240" w:lineRule="auto"/>
              <w:jc w:val="center"/>
              <w:rPr>
                <w:rFonts w:eastAsia="Calibri" w:cstheme="minorHAnsi"/>
                <w:b/>
                <w:bCs/>
                <w:lang w:val="ru-RU"/>
              </w:rPr>
            </w:pPr>
            <w:r w:rsidRPr="00612B86">
              <w:rPr>
                <w:rFonts w:eastAsia="Calibri" w:cstheme="minorHAnsi"/>
                <w:b/>
                <w:bCs/>
              </w:rPr>
              <w:t>Quantity</w:t>
            </w:r>
            <w:r w:rsidR="00BE0E86" w:rsidRPr="00612B86">
              <w:rPr>
                <w:rFonts w:eastAsia="Calibri" w:cstheme="minorHAnsi"/>
                <w:b/>
                <w:bCs/>
              </w:rPr>
              <w:t xml:space="preserve"> of</w:t>
            </w:r>
          </w:p>
          <w:p w14:paraId="6EE1EB43" w14:textId="70AF0FEC" w:rsidR="00832553" w:rsidRPr="00612B86" w:rsidRDefault="00832553" w:rsidP="00DE7D9A">
            <w:pPr>
              <w:spacing w:after="0" w:line="240" w:lineRule="auto"/>
              <w:jc w:val="center"/>
              <w:rPr>
                <w:rFonts w:eastAsia="Calibri" w:cstheme="minorHAnsi"/>
                <w:b/>
                <w:bCs/>
                <w:lang w:val="ru-RU"/>
              </w:rPr>
            </w:pPr>
            <w:r w:rsidRPr="00612B86">
              <w:rPr>
                <w:rFonts w:eastAsia="Calibri" w:cstheme="minorHAnsi"/>
                <w:b/>
                <w:bCs/>
              </w:rPr>
              <w:t>Contractors</w:t>
            </w:r>
          </w:p>
        </w:tc>
        <w:tc>
          <w:tcPr>
            <w:tcW w:w="1843" w:type="dxa"/>
            <w:shd w:val="clear" w:color="auto" w:fill="auto"/>
            <w:vAlign w:val="center"/>
          </w:tcPr>
          <w:p w14:paraId="2413A018" w14:textId="77777777" w:rsidR="00832553" w:rsidRPr="00612B86" w:rsidRDefault="00832553" w:rsidP="00EC2371">
            <w:pPr>
              <w:jc w:val="center"/>
              <w:rPr>
                <w:rFonts w:eastAsia="Calibri" w:cstheme="minorHAnsi"/>
                <w:b/>
                <w:bCs/>
              </w:rPr>
            </w:pPr>
          </w:p>
          <w:p w14:paraId="6F7220F7" w14:textId="470C782C" w:rsidR="00832553" w:rsidRPr="00612B86" w:rsidRDefault="00832553" w:rsidP="00832553">
            <w:pPr>
              <w:jc w:val="center"/>
              <w:rPr>
                <w:rFonts w:eastAsia="Calibri" w:cstheme="minorHAnsi"/>
                <w:b/>
                <w:bCs/>
              </w:rPr>
            </w:pPr>
            <w:r w:rsidRPr="00612B86">
              <w:rPr>
                <w:rFonts w:eastAsia="Calibri" w:cstheme="minorHAnsi"/>
                <w:b/>
                <w:bCs/>
              </w:rPr>
              <w:t xml:space="preserve">Costs in </w:t>
            </w:r>
            <w:r w:rsidR="00124664" w:rsidRPr="00612B86">
              <w:rPr>
                <w:rFonts w:eastAsia="Calibri" w:cstheme="minorHAnsi"/>
                <w:b/>
                <w:bCs/>
              </w:rPr>
              <w:t>US$</w:t>
            </w:r>
          </w:p>
        </w:tc>
        <w:tc>
          <w:tcPr>
            <w:tcW w:w="1552" w:type="dxa"/>
            <w:shd w:val="clear" w:color="auto" w:fill="auto"/>
            <w:noWrap/>
            <w:tcMar>
              <w:top w:w="0" w:type="dxa"/>
              <w:left w:w="108" w:type="dxa"/>
              <w:bottom w:w="0" w:type="dxa"/>
              <w:right w:w="108" w:type="dxa"/>
            </w:tcMar>
            <w:vAlign w:val="center"/>
          </w:tcPr>
          <w:p w14:paraId="0055C0C2" w14:textId="1ECFC626" w:rsidR="00832553" w:rsidRPr="00612B86" w:rsidRDefault="009F369C" w:rsidP="00DE7D9A">
            <w:pPr>
              <w:spacing w:after="0" w:line="240" w:lineRule="auto"/>
              <w:jc w:val="center"/>
              <w:rPr>
                <w:rFonts w:eastAsia="Calibri" w:cstheme="minorHAnsi"/>
                <w:b/>
                <w:bCs/>
                <w:lang w:val="ru-RU"/>
              </w:rPr>
            </w:pPr>
            <w:r w:rsidRPr="00612B86">
              <w:rPr>
                <w:rFonts w:eastAsia="Calibri" w:cstheme="minorHAnsi"/>
                <w:b/>
                <w:bCs/>
                <w:lang w:val="en-US"/>
              </w:rPr>
              <w:t>LC</w:t>
            </w:r>
            <w:r w:rsidR="00832553" w:rsidRPr="00612B86">
              <w:rPr>
                <w:rFonts w:eastAsia="Calibri" w:cstheme="minorHAnsi"/>
                <w:b/>
                <w:bCs/>
              </w:rPr>
              <w:t xml:space="preserve"> in %</w:t>
            </w:r>
          </w:p>
        </w:tc>
        <w:tc>
          <w:tcPr>
            <w:tcW w:w="1696" w:type="dxa"/>
            <w:shd w:val="clear" w:color="auto" w:fill="auto"/>
            <w:vAlign w:val="center"/>
          </w:tcPr>
          <w:p w14:paraId="69E91DEB" w14:textId="54DC8850" w:rsidR="00832553" w:rsidRPr="00612B86" w:rsidRDefault="00124664" w:rsidP="00DE7D9A">
            <w:pPr>
              <w:spacing w:after="0" w:line="240" w:lineRule="auto"/>
              <w:jc w:val="center"/>
              <w:rPr>
                <w:rFonts w:eastAsia="Calibri" w:cstheme="minorHAnsi"/>
                <w:b/>
                <w:bCs/>
                <w:lang w:val="ru-RU"/>
              </w:rPr>
            </w:pPr>
            <w:r w:rsidRPr="00612B86">
              <w:rPr>
                <w:rFonts w:eastAsia="Calibri" w:cstheme="minorHAnsi"/>
                <w:b/>
                <w:bCs/>
              </w:rPr>
              <w:t>LC in US$</w:t>
            </w:r>
          </w:p>
        </w:tc>
      </w:tr>
      <w:tr w:rsidR="00612B86" w:rsidRPr="00612B86" w14:paraId="4AB3636B" w14:textId="6B39B780" w:rsidTr="00602007">
        <w:trPr>
          <w:trHeight w:val="300"/>
          <w:jc w:val="center"/>
        </w:trPr>
        <w:tc>
          <w:tcPr>
            <w:tcW w:w="1259" w:type="dxa"/>
            <w:shd w:val="clear" w:color="auto" w:fill="auto"/>
            <w:vAlign w:val="center"/>
          </w:tcPr>
          <w:p w14:paraId="3B44A42B" w14:textId="1A6EEF48" w:rsidR="00CE0F79" w:rsidRPr="00612B86" w:rsidRDefault="00CE0F79" w:rsidP="00DE7D9A">
            <w:pPr>
              <w:spacing w:after="0" w:line="240" w:lineRule="auto"/>
              <w:jc w:val="center"/>
              <w:rPr>
                <w:rFonts w:eastAsia="Calibri" w:cstheme="minorHAnsi"/>
                <w:bCs/>
                <w:lang w:val="ru-RU"/>
              </w:rPr>
            </w:pPr>
            <w:r w:rsidRPr="00612B86">
              <w:rPr>
                <w:rFonts w:eastAsia="Calibri" w:cstheme="minorHAnsi"/>
                <w:bCs/>
              </w:rPr>
              <w:t>Goods</w:t>
            </w:r>
          </w:p>
        </w:tc>
        <w:tc>
          <w:tcPr>
            <w:tcW w:w="1725" w:type="dxa"/>
            <w:shd w:val="clear" w:color="auto" w:fill="auto"/>
            <w:tcMar>
              <w:top w:w="0" w:type="dxa"/>
              <w:left w:w="108" w:type="dxa"/>
              <w:bottom w:w="0" w:type="dxa"/>
              <w:right w:w="108" w:type="dxa"/>
            </w:tcMar>
            <w:vAlign w:val="center"/>
          </w:tcPr>
          <w:p w14:paraId="180D8D27" w14:textId="43CE54EF"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113</w:t>
            </w:r>
          </w:p>
        </w:tc>
        <w:tc>
          <w:tcPr>
            <w:tcW w:w="1559" w:type="dxa"/>
            <w:shd w:val="clear" w:color="auto" w:fill="auto"/>
            <w:vAlign w:val="center"/>
          </w:tcPr>
          <w:p w14:paraId="599FCD05" w14:textId="5A8C6886"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58</w:t>
            </w:r>
          </w:p>
        </w:tc>
        <w:tc>
          <w:tcPr>
            <w:tcW w:w="1843" w:type="dxa"/>
            <w:shd w:val="clear" w:color="auto" w:fill="auto"/>
            <w:noWrap/>
            <w:tcMar>
              <w:top w:w="0" w:type="dxa"/>
              <w:left w:w="108" w:type="dxa"/>
              <w:bottom w:w="0" w:type="dxa"/>
              <w:right w:w="108" w:type="dxa"/>
            </w:tcMar>
            <w:vAlign w:val="center"/>
          </w:tcPr>
          <w:p w14:paraId="5AECD4FA" w14:textId="190E8A61" w:rsidR="00CE0F79" w:rsidRPr="00612B86" w:rsidRDefault="008178A1" w:rsidP="00DE7D9A">
            <w:pPr>
              <w:spacing w:after="0" w:line="240" w:lineRule="auto"/>
              <w:jc w:val="center"/>
              <w:rPr>
                <w:rFonts w:eastAsia="Calibri" w:cstheme="minorHAnsi"/>
                <w:lang w:val="en-US"/>
              </w:rPr>
            </w:pPr>
            <w:r w:rsidRPr="00612B86">
              <w:rPr>
                <w:rFonts w:eastAsia="Calibri" w:cstheme="minorHAnsi"/>
              </w:rPr>
              <w:t>60,10</w:t>
            </w:r>
          </w:p>
        </w:tc>
        <w:tc>
          <w:tcPr>
            <w:tcW w:w="1552" w:type="dxa"/>
          </w:tcPr>
          <w:p w14:paraId="072AF122" w14:textId="269D8096" w:rsidR="00CE0F79" w:rsidRPr="00612B86" w:rsidRDefault="0065402D" w:rsidP="00DE7D9A">
            <w:pPr>
              <w:spacing w:after="0" w:line="240" w:lineRule="auto"/>
              <w:jc w:val="center"/>
              <w:rPr>
                <w:rFonts w:eastAsia="Calibri" w:cstheme="minorHAnsi"/>
                <w:lang w:val="en-US"/>
              </w:rPr>
            </w:pPr>
            <w:r w:rsidRPr="00612B86">
              <w:rPr>
                <w:rFonts w:eastAsia="Calibri" w:cstheme="minorHAnsi"/>
              </w:rPr>
              <w:t>13.51%</w:t>
            </w:r>
          </w:p>
        </w:tc>
        <w:tc>
          <w:tcPr>
            <w:tcW w:w="1696" w:type="dxa"/>
          </w:tcPr>
          <w:p w14:paraId="204186CA" w14:textId="0F74F7EA" w:rsidR="00CE0F79" w:rsidRPr="00612B86" w:rsidRDefault="00CC3FC0" w:rsidP="00DE7D9A">
            <w:pPr>
              <w:spacing w:after="0" w:line="240" w:lineRule="auto"/>
              <w:jc w:val="center"/>
              <w:rPr>
                <w:rFonts w:eastAsia="Calibri" w:cstheme="minorHAnsi"/>
                <w:lang w:val="en-US"/>
              </w:rPr>
            </w:pPr>
            <w:r w:rsidRPr="00612B86">
              <w:rPr>
                <w:rFonts w:eastAsia="Calibri" w:cstheme="minorHAnsi"/>
              </w:rPr>
              <w:t>8,12</w:t>
            </w:r>
          </w:p>
        </w:tc>
      </w:tr>
      <w:tr w:rsidR="00612B86" w:rsidRPr="00612B86" w14:paraId="0AE47B2E" w14:textId="3B994D9D" w:rsidTr="00EA272C">
        <w:trPr>
          <w:trHeight w:val="300"/>
          <w:jc w:val="center"/>
        </w:trPr>
        <w:tc>
          <w:tcPr>
            <w:tcW w:w="1259" w:type="dxa"/>
            <w:tcBorders>
              <w:bottom w:val="single" w:sz="4" w:space="0" w:color="auto"/>
            </w:tcBorders>
            <w:shd w:val="clear" w:color="auto" w:fill="auto"/>
            <w:noWrap/>
            <w:tcMar>
              <w:top w:w="0" w:type="dxa"/>
              <w:left w:w="108" w:type="dxa"/>
              <w:bottom w:w="0" w:type="dxa"/>
              <w:right w:w="108" w:type="dxa"/>
            </w:tcMar>
            <w:vAlign w:val="center"/>
          </w:tcPr>
          <w:p w14:paraId="5EF9EF96" w14:textId="70D10D68" w:rsidR="00CE0F79" w:rsidRPr="00612B86" w:rsidRDefault="00CE0F79" w:rsidP="00DE7D9A">
            <w:pPr>
              <w:spacing w:after="0" w:line="240" w:lineRule="auto"/>
              <w:jc w:val="center"/>
              <w:rPr>
                <w:rFonts w:eastAsia="Calibri" w:cstheme="minorHAnsi"/>
                <w:lang w:val="ru-RU"/>
              </w:rPr>
            </w:pPr>
            <w:r w:rsidRPr="00612B86">
              <w:rPr>
                <w:rFonts w:eastAsia="Calibri" w:cstheme="minorHAnsi"/>
              </w:rPr>
              <w:t xml:space="preserve">Work </w:t>
            </w:r>
          </w:p>
        </w:tc>
        <w:tc>
          <w:tcPr>
            <w:tcW w:w="1725" w:type="dxa"/>
            <w:tcBorders>
              <w:bottom w:val="single" w:sz="4" w:space="0" w:color="auto"/>
            </w:tcBorders>
            <w:shd w:val="clear" w:color="auto" w:fill="auto"/>
            <w:noWrap/>
            <w:tcMar>
              <w:top w:w="0" w:type="dxa"/>
              <w:left w:w="108" w:type="dxa"/>
              <w:bottom w:w="0" w:type="dxa"/>
              <w:right w:w="108" w:type="dxa"/>
            </w:tcMar>
            <w:vAlign w:val="center"/>
          </w:tcPr>
          <w:p w14:paraId="1F32275D" w14:textId="7108AD74"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40</w:t>
            </w:r>
          </w:p>
        </w:tc>
        <w:tc>
          <w:tcPr>
            <w:tcW w:w="1559" w:type="dxa"/>
            <w:tcBorders>
              <w:bottom w:val="single" w:sz="4" w:space="0" w:color="auto"/>
            </w:tcBorders>
            <w:shd w:val="clear" w:color="auto" w:fill="auto"/>
            <w:vAlign w:val="center"/>
          </w:tcPr>
          <w:p w14:paraId="29C6464F" w14:textId="32E9988F"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24</w:t>
            </w:r>
          </w:p>
        </w:tc>
        <w:tc>
          <w:tcPr>
            <w:tcW w:w="1843" w:type="dxa"/>
            <w:tcBorders>
              <w:bottom w:val="single" w:sz="4" w:space="0" w:color="auto"/>
            </w:tcBorders>
            <w:shd w:val="clear" w:color="auto" w:fill="auto"/>
            <w:noWrap/>
            <w:tcMar>
              <w:top w:w="0" w:type="dxa"/>
              <w:left w:w="108" w:type="dxa"/>
              <w:bottom w:w="0" w:type="dxa"/>
              <w:right w:w="108" w:type="dxa"/>
            </w:tcMar>
            <w:vAlign w:val="center"/>
          </w:tcPr>
          <w:p w14:paraId="621CEE07" w14:textId="57EC1376" w:rsidR="00CE0F79" w:rsidRPr="00612B86" w:rsidRDefault="008178A1" w:rsidP="00DE7D9A">
            <w:pPr>
              <w:spacing w:after="0" w:line="240" w:lineRule="auto"/>
              <w:jc w:val="center"/>
              <w:rPr>
                <w:rFonts w:eastAsia="Calibri" w:cstheme="minorHAnsi"/>
                <w:bCs/>
              </w:rPr>
            </w:pPr>
            <w:r w:rsidRPr="00612B86">
              <w:rPr>
                <w:rFonts w:eastAsia="Calibri" w:cstheme="minorHAnsi"/>
                <w:bCs/>
              </w:rPr>
              <w:t>483,53</w:t>
            </w:r>
          </w:p>
        </w:tc>
        <w:tc>
          <w:tcPr>
            <w:tcW w:w="1552" w:type="dxa"/>
            <w:tcBorders>
              <w:bottom w:val="single" w:sz="4" w:space="0" w:color="auto"/>
            </w:tcBorders>
          </w:tcPr>
          <w:p w14:paraId="383B90C2" w14:textId="2479DBC3" w:rsidR="00CE0F79" w:rsidRPr="00612B86" w:rsidRDefault="0065402D" w:rsidP="00DE7D9A">
            <w:pPr>
              <w:spacing w:after="0" w:line="240" w:lineRule="auto"/>
              <w:jc w:val="center"/>
              <w:rPr>
                <w:rFonts w:eastAsia="Calibri" w:cstheme="minorHAnsi"/>
                <w:bCs/>
              </w:rPr>
            </w:pPr>
            <w:r w:rsidRPr="00612B86">
              <w:rPr>
                <w:rFonts w:eastAsia="Calibri" w:cstheme="minorHAnsi"/>
                <w:bCs/>
              </w:rPr>
              <w:t>66.53%</w:t>
            </w:r>
          </w:p>
        </w:tc>
        <w:tc>
          <w:tcPr>
            <w:tcW w:w="1696" w:type="dxa"/>
            <w:tcBorders>
              <w:bottom w:val="single" w:sz="4" w:space="0" w:color="auto"/>
            </w:tcBorders>
          </w:tcPr>
          <w:p w14:paraId="03436139" w14:textId="15B4B3BA" w:rsidR="00CE0F79" w:rsidRPr="00612B86" w:rsidRDefault="00CC3FC0" w:rsidP="00DE7D9A">
            <w:pPr>
              <w:spacing w:after="0" w:line="240" w:lineRule="auto"/>
              <w:jc w:val="center"/>
              <w:rPr>
                <w:rFonts w:eastAsia="Calibri" w:cstheme="minorHAnsi"/>
                <w:bCs/>
              </w:rPr>
            </w:pPr>
            <w:r w:rsidRPr="00612B86">
              <w:rPr>
                <w:rFonts w:eastAsia="Calibri" w:cstheme="minorHAnsi"/>
                <w:bCs/>
              </w:rPr>
              <w:t>321,70</w:t>
            </w:r>
          </w:p>
        </w:tc>
      </w:tr>
      <w:tr w:rsidR="00612B86" w:rsidRPr="00612B86" w14:paraId="786FED1C" w14:textId="448D42A5" w:rsidTr="00EA272C">
        <w:trPr>
          <w:trHeight w:val="300"/>
          <w:jc w:val="center"/>
        </w:trPr>
        <w:tc>
          <w:tcPr>
            <w:tcW w:w="1259" w:type="dxa"/>
            <w:tcBorders>
              <w:bottom w:val="single" w:sz="4" w:space="0" w:color="auto"/>
            </w:tcBorders>
            <w:shd w:val="clear" w:color="auto" w:fill="auto"/>
            <w:noWrap/>
            <w:tcMar>
              <w:top w:w="0" w:type="dxa"/>
              <w:left w:w="108" w:type="dxa"/>
              <w:bottom w:w="0" w:type="dxa"/>
              <w:right w:w="108" w:type="dxa"/>
            </w:tcMar>
            <w:vAlign w:val="center"/>
          </w:tcPr>
          <w:p w14:paraId="7A56581E" w14:textId="5806ECD5" w:rsidR="00CE0F79" w:rsidRPr="00612B86" w:rsidRDefault="00CE0F79" w:rsidP="00DE7D9A">
            <w:pPr>
              <w:spacing w:after="0" w:line="240" w:lineRule="auto"/>
              <w:jc w:val="center"/>
              <w:rPr>
                <w:rFonts w:eastAsia="Calibri" w:cstheme="minorHAnsi"/>
                <w:lang w:val="ru-RU"/>
              </w:rPr>
            </w:pPr>
            <w:r w:rsidRPr="00612B86">
              <w:rPr>
                <w:rFonts w:eastAsia="Calibri" w:cstheme="minorHAnsi"/>
              </w:rPr>
              <w:t>Services</w:t>
            </w:r>
          </w:p>
        </w:tc>
        <w:tc>
          <w:tcPr>
            <w:tcW w:w="1725" w:type="dxa"/>
            <w:tcBorders>
              <w:bottom w:val="single" w:sz="4" w:space="0" w:color="auto"/>
            </w:tcBorders>
            <w:shd w:val="clear" w:color="auto" w:fill="auto"/>
            <w:noWrap/>
            <w:tcMar>
              <w:top w:w="0" w:type="dxa"/>
              <w:left w:w="108" w:type="dxa"/>
              <w:bottom w:w="0" w:type="dxa"/>
              <w:right w:w="108" w:type="dxa"/>
            </w:tcMar>
            <w:vAlign w:val="center"/>
          </w:tcPr>
          <w:p w14:paraId="7768ED5C" w14:textId="7D3F903E"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199</w:t>
            </w:r>
          </w:p>
        </w:tc>
        <w:tc>
          <w:tcPr>
            <w:tcW w:w="1559" w:type="dxa"/>
            <w:tcBorders>
              <w:bottom w:val="single" w:sz="4" w:space="0" w:color="auto"/>
            </w:tcBorders>
            <w:shd w:val="clear" w:color="auto" w:fill="auto"/>
            <w:vAlign w:val="center"/>
          </w:tcPr>
          <w:p w14:paraId="412E8A74" w14:textId="480E29C7"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104</w:t>
            </w:r>
          </w:p>
        </w:tc>
        <w:tc>
          <w:tcPr>
            <w:tcW w:w="1843" w:type="dxa"/>
            <w:tcBorders>
              <w:bottom w:val="single" w:sz="4" w:space="0" w:color="auto"/>
            </w:tcBorders>
            <w:shd w:val="clear" w:color="auto" w:fill="auto"/>
            <w:noWrap/>
            <w:tcMar>
              <w:top w:w="0" w:type="dxa"/>
              <w:left w:w="108" w:type="dxa"/>
              <w:bottom w:w="0" w:type="dxa"/>
              <w:right w:w="108" w:type="dxa"/>
            </w:tcMar>
            <w:vAlign w:val="center"/>
          </w:tcPr>
          <w:p w14:paraId="0F66DE6E" w14:textId="6EDF2352" w:rsidR="00CE0F79" w:rsidRPr="00612B86" w:rsidRDefault="008178A1" w:rsidP="00DE7D9A">
            <w:pPr>
              <w:spacing w:after="0" w:line="240" w:lineRule="auto"/>
              <w:jc w:val="center"/>
              <w:rPr>
                <w:rFonts w:eastAsia="Calibri" w:cstheme="minorHAnsi"/>
                <w:bCs/>
              </w:rPr>
            </w:pPr>
            <w:r w:rsidRPr="00612B86">
              <w:rPr>
                <w:rFonts w:eastAsia="Calibri" w:cstheme="minorHAnsi"/>
                <w:bCs/>
              </w:rPr>
              <w:t>174,12</w:t>
            </w:r>
          </w:p>
        </w:tc>
        <w:tc>
          <w:tcPr>
            <w:tcW w:w="1552" w:type="dxa"/>
            <w:tcBorders>
              <w:bottom w:val="single" w:sz="4" w:space="0" w:color="auto"/>
            </w:tcBorders>
          </w:tcPr>
          <w:p w14:paraId="40C0947F" w14:textId="60F446CA" w:rsidR="00CE0F79" w:rsidRPr="00612B86" w:rsidRDefault="0065402D" w:rsidP="00DE7D9A">
            <w:pPr>
              <w:spacing w:after="0" w:line="240" w:lineRule="auto"/>
              <w:jc w:val="center"/>
              <w:rPr>
                <w:rFonts w:eastAsia="Calibri" w:cstheme="minorHAnsi"/>
                <w:bCs/>
              </w:rPr>
            </w:pPr>
            <w:r w:rsidRPr="00612B86">
              <w:rPr>
                <w:rFonts w:eastAsia="Calibri" w:cstheme="minorHAnsi"/>
                <w:bCs/>
              </w:rPr>
              <w:t>93.23%</w:t>
            </w:r>
          </w:p>
        </w:tc>
        <w:tc>
          <w:tcPr>
            <w:tcW w:w="1696" w:type="dxa"/>
            <w:tcBorders>
              <w:bottom w:val="single" w:sz="4" w:space="0" w:color="auto"/>
            </w:tcBorders>
          </w:tcPr>
          <w:p w14:paraId="7A428C81" w14:textId="53400AF6" w:rsidR="00CE0F79" w:rsidRPr="00612B86" w:rsidRDefault="00CC3FC0" w:rsidP="00DE7D9A">
            <w:pPr>
              <w:spacing w:after="0" w:line="240" w:lineRule="auto"/>
              <w:jc w:val="center"/>
              <w:rPr>
                <w:rFonts w:eastAsia="Calibri" w:cstheme="minorHAnsi"/>
                <w:bCs/>
              </w:rPr>
            </w:pPr>
            <w:r w:rsidRPr="00612B86">
              <w:rPr>
                <w:rFonts w:eastAsia="Calibri" w:cstheme="minorHAnsi"/>
                <w:bCs/>
              </w:rPr>
              <w:t>162,34</w:t>
            </w:r>
          </w:p>
        </w:tc>
      </w:tr>
      <w:tr w:rsidR="00612B86" w:rsidRPr="00612B86" w14:paraId="42E76B01" w14:textId="4789F5F4" w:rsidTr="00EA272C">
        <w:trPr>
          <w:trHeight w:val="300"/>
          <w:jc w:val="center"/>
        </w:trPr>
        <w:tc>
          <w:tcPr>
            <w:tcW w:w="1259" w:type="dxa"/>
            <w:tcBorders>
              <w:bottom w:val="single" w:sz="4" w:space="0" w:color="auto"/>
            </w:tcBorders>
            <w:shd w:val="clear" w:color="auto" w:fill="auto"/>
            <w:noWrap/>
            <w:tcMar>
              <w:top w:w="0" w:type="dxa"/>
              <w:left w:w="108" w:type="dxa"/>
              <w:bottom w:w="0" w:type="dxa"/>
              <w:right w:w="108" w:type="dxa"/>
            </w:tcMar>
            <w:vAlign w:val="center"/>
          </w:tcPr>
          <w:p w14:paraId="1C39782D" w14:textId="4C5CE0D8" w:rsidR="00CE0F79" w:rsidRPr="00612B86" w:rsidRDefault="00CE0F79" w:rsidP="00DE7D9A">
            <w:pPr>
              <w:spacing w:after="0" w:line="240" w:lineRule="auto"/>
              <w:jc w:val="center"/>
              <w:rPr>
                <w:rFonts w:eastAsia="Calibri" w:cstheme="minorHAnsi"/>
                <w:lang w:val="ru-RU"/>
              </w:rPr>
            </w:pPr>
            <w:r w:rsidRPr="00612B86">
              <w:rPr>
                <w:rFonts w:eastAsia="Calibri" w:cstheme="minorHAnsi"/>
              </w:rPr>
              <w:t>Total</w:t>
            </w:r>
          </w:p>
        </w:tc>
        <w:tc>
          <w:tcPr>
            <w:tcW w:w="1725" w:type="dxa"/>
            <w:tcBorders>
              <w:bottom w:val="single" w:sz="4" w:space="0" w:color="auto"/>
            </w:tcBorders>
            <w:shd w:val="clear" w:color="auto" w:fill="auto"/>
            <w:noWrap/>
            <w:tcMar>
              <w:top w:w="0" w:type="dxa"/>
              <w:left w:w="108" w:type="dxa"/>
              <w:bottom w:w="0" w:type="dxa"/>
              <w:right w:w="108" w:type="dxa"/>
            </w:tcMar>
            <w:vAlign w:val="center"/>
          </w:tcPr>
          <w:p w14:paraId="41A270EC" w14:textId="56DBB572"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352</w:t>
            </w:r>
          </w:p>
        </w:tc>
        <w:tc>
          <w:tcPr>
            <w:tcW w:w="1559" w:type="dxa"/>
            <w:tcBorders>
              <w:bottom w:val="single" w:sz="4" w:space="0" w:color="auto"/>
            </w:tcBorders>
            <w:shd w:val="clear" w:color="auto" w:fill="auto"/>
            <w:vAlign w:val="center"/>
          </w:tcPr>
          <w:p w14:paraId="0D8D9045" w14:textId="47ACB753" w:rsidR="00CE0F79" w:rsidRPr="00612B86" w:rsidRDefault="008178A1" w:rsidP="00DE7D9A">
            <w:pPr>
              <w:spacing w:after="0" w:line="240" w:lineRule="auto"/>
              <w:jc w:val="center"/>
              <w:rPr>
                <w:rFonts w:eastAsia="Calibri" w:cstheme="minorHAnsi"/>
                <w:lang w:val="ru-RU"/>
              </w:rPr>
            </w:pPr>
            <w:r w:rsidRPr="00612B86">
              <w:rPr>
                <w:rFonts w:eastAsia="Calibri" w:cstheme="minorHAnsi"/>
              </w:rPr>
              <w:t>165</w:t>
            </w:r>
          </w:p>
        </w:tc>
        <w:tc>
          <w:tcPr>
            <w:tcW w:w="1843" w:type="dxa"/>
            <w:tcBorders>
              <w:bottom w:val="single" w:sz="4" w:space="0" w:color="auto"/>
            </w:tcBorders>
            <w:shd w:val="clear" w:color="auto" w:fill="auto"/>
            <w:noWrap/>
            <w:tcMar>
              <w:top w:w="0" w:type="dxa"/>
              <w:left w:w="108" w:type="dxa"/>
              <w:bottom w:w="0" w:type="dxa"/>
              <w:right w:w="108" w:type="dxa"/>
            </w:tcMar>
            <w:vAlign w:val="center"/>
          </w:tcPr>
          <w:p w14:paraId="0FD2D6A5" w14:textId="7A74EF57" w:rsidR="00CE0F79" w:rsidRPr="00612B86" w:rsidRDefault="008178A1" w:rsidP="00DE7D9A">
            <w:pPr>
              <w:spacing w:after="0" w:line="240" w:lineRule="auto"/>
              <w:jc w:val="center"/>
              <w:rPr>
                <w:rFonts w:eastAsia="Calibri" w:cstheme="minorHAnsi"/>
                <w:bCs/>
              </w:rPr>
            </w:pPr>
            <w:r w:rsidRPr="00612B86">
              <w:rPr>
                <w:rFonts w:eastAsia="Calibri" w:cstheme="minorHAnsi"/>
                <w:bCs/>
              </w:rPr>
              <w:t>717,76</w:t>
            </w:r>
          </w:p>
        </w:tc>
        <w:tc>
          <w:tcPr>
            <w:tcW w:w="1552" w:type="dxa"/>
            <w:tcBorders>
              <w:bottom w:val="single" w:sz="4" w:space="0" w:color="auto"/>
            </w:tcBorders>
          </w:tcPr>
          <w:p w14:paraId="2681214E" w14:textId="43998A38" w:rsidR="00CE0F79" w:rsidRPr="00612B86" w:rsidRDefault="0065402D" w:rsidP="00DE7D9A">
            <w:pPr>
              <w:spacing w:after="0" w:line="240" w:lineRule="auto"/>
              <w:jc w:val="center"/>
              <w:rPr>
                <w:rFonts w:eastAsia="Calibri" w:cstheme="minorHAnsi"/>
                <w:bCs/>
              </w:rPr>
            </w:pPr>
            <w:r w:rsidRPr="00612B86">
              <w:rPr>
                <w:rFonts w:eastAsia="Calibri" w:cstheme="minorHAnsi"/>
                <w:bCs/>
              </w:rPr>
              <w:t>68.6%</w:t>
            </w:r>
          </w:p>
        </w:tc>
        <w:tc>
          <w:tcPr>
            <w:tcW w:w="1696" w:type="dxa"/>
            <w:tcBorders>
              <w:bottom w:val="single" w:sz="4" w:space="0" w:color="auto"/>
            </w:tcBorders>
          </w:tcPr>
          <w:p w14:paraId="12AD7586" w14:textId="4A4E71EF" w:rsidR="00CE0F79" w:rsidRPr="00612B86" w:rsidRDefault="00CC3FC0" w:rsidP="00DE7D9A">
            <w:pPr>
              <w:spacing w:after="0" w:line="240" w:lineRule="auto"/>
              <w:jc w:val="center"/>
              <w:rPr>
                <w:rFonts w:eastAsia="Calibri" w:cstheme="minorHAnsi"/>
                <w:bCs/>
              </w:rPr>
            </w:pPr>
            <w:r w:rsidRPr="00612B86">
              <w:rPr>
                <w:rFonts w:eastAsia="Calibri" w:cstheme="minorHAnsi"/>
                <w:bCs/>
              </w:rPr>
              <w:t>492,17</w:t>
            </w:r>
          </w:p>
        </w:tc>
      </w:tr>
    </w:tbl>
    <w:p w14:paraId="722FF55F" w14:textId="77777777" w:rsidR="003D35CA" w:rsidRPr="00612B86" w:rsidRDefault="003D35CA" w:rsidP="003679F7">
      <w:pPr>
        <w:spacing w:after="120"/>
        <w:rPr>
          <w:rFonts w:cstheme="minorHAnsi"/>
          <w:b/>
          <w:lang w:val="ru-RU"/>
        </w:rPr>
      </w:pPr>
      <w:bookmarkStart w:id="0" w:name="_MON_1550401117"/>
      <w:bookmarkEnd w:id="0"/>
    </w:p>
    <w:p w14:paraId="243B1EB1" w14:textId="1DC6BB02" w:rsidR="003679F7" w:rsidRPr="00C924A2" w:rsidRDefault="003679F7" w:rsidP="003679F7">
      <w:pPr>
        <w:spacing w:after="120"/>
        <w:rPr>
          <w:rFonts w:cstheme="minorHAnsi"/>
          <w:b/>
          <w:color w:val="244061" w:themeColor="accent1" w:themeShade="80"/>
        </w:rPr>
      </w:pPr>
      <w:r w:rsidRPr="00587C36">
        <w:rPr>
          <w:rFonts w:cstheme="minorHAnsi"/>
          <w:b/>
          <w:color w:val="365F91" w:themeColor="accent1" w:themeShade="BF"/>
        </w:rPr>
        <w:t xml:space="preserve">Long-term initiatives </w:t>
      </w:r>
    </w:p>
    <w:p w14:paraId="0B15362F" w14:textId="3C6A602F" w:rsidR="00322445" w:rsidRPr="00612B86" w:rsidRDefault="00322445" w:rsidP="00CF2028">
      <w:pPr>
        <w:pStyle w:val="FootnoteText"/>
        <w:spacing w:before="120" w:line="276" w:lineRule="auto"/>
        <w:jc w:val="both"/>
        <w:rPr>
          <w:rFonts w:cstheme="minorHAnsi"/>
          <w:sz w:val="22"/>
          <w:szCs w:val="22"/>
        </w:rPr>
      </w:pPr>
      <w:r w:rsidRPr="00612B86">
        <w:rPr>
          <w:rFonts w:cstheme="minorHAnsi"/>
          <w:sz w:val="22"/>
          <w:szCs w:val="22"/>
        </w:rPr>
        <w:t>On procurement issues with the participation of Kazakhstan</w:t>
      </w:r>
      <w:r w:rsidR="00C924A2" w:rsidRPr="00612B86">
        <w:rPr>
          <w:rFonts w:cstheme="minorHAnsi"/>
          <w:sz w:val="22"/>
          <w:szCs w:val="22"/>
        </w:rPr>
        <w:t xml:space="preserve"> commodity</w:t>
      </w:r>
      <w:r w:rsidRPr="00612B86">
        <w:rPr>
          <w:rFonts w:cstheme="minorHAnsi"/>
          <w:sz w:val="22"/>
          <w:szCs w:val="22"/>
        </w:rPr>
        <w:t xml:space="preserve"> producers, KPO works in close cooperation with the Ministries of the Republic of Kazakhstan, industry colleagues, partners and business associations.    </w:t>
      </w:r>
    </w:p>
    <w:p w14:paraId="47CC604C" w14:textId="29ACE1F5" w:rsidR="00B8640E" w:rsidRPr="00612B86" w:rsidRDefault="00997B4B" w:rsidP="00D25B46">
      <w:pPr>
        <w:pStyle w:val="FootnoteText"/>
        <w:spacing w:before="120"/>
        <w:jc w:val="both"/>
        <w:rPr>
          <w:rFonts w:cstheme="minorHAnsi"/>
          <w:sz w:val="22"/>
          <w:szCs w:val="22"/>
        </w:rPr>
      </w:pPr>
      <w:r w:rsidRPr="00612B86">
        <w:rPr>
          <w:rFonts w:cstheme="minorHAnsi"/>
          <w:sz w:val="22"/>
          <w:szCs w:val="22"/>
        </w:rPr>
        <w:lastRenderedPageBreak/>
        <w:t>KPO actively cooperates with the International Oil and Gas Engineering Development Centre (IMBC), established to promote the development of oil and gas product</w:t>
      </w:r>
      <w:r w:rsidR="00717E81" w:rsidRPr="00612B86">
        <w:rPr>
          <w:rFonts w:cstheme="minorHAnsi"/>
          <w:sz w:val="22"/>
          <w:szCs w:val="22"/>
        </w:rPr>
        <w:t>s manufacturing</w:t>
      </w:r>
      <w:r w:rsidRPr="00612B86">
        <w:rPr>
          <w:rFonts w:cstheme="minorHAnsi"/>
          <w:sz w:val="22"/>
          <w:szCs w:val="22"/>
        </w:rPr>
        <w:t xml:space="preserve"> in Kazakhstan, connecting major oil and gas operators with the machine-building industry of the Republic of Kazakhstan. </w:t>
      </w:r>
    </w:p>
    <w:p w14:paraId="0697186F" w14:textId="680A6D09" w:rsidR="003679F7" w:rsidRPr="007A5AA7" w:rsidRDefault="004D0F08" w:rsidP="00C607A1">
      <w:pPr>
        <w:pStyle w:val="FootnoteText"/>
        <w:spacing w:before="120" w:line="276" w:lineRule="auto"/>
        <w:jc w:val="both"/>
        <w:rPr>
          <w:rFonts w:cstheme="minorHAnsi"/>
          <w:sz w:val="22"/>
          <w:szCs w:val="22"/>
        </w:rPr>
      </w:pPr>
      <w:r w:rsidRPr="007A5AA7">
        <w:rPr>
          <w:rFonts w:cstheme="minorHAnsi"/>
          <w:sz w:val="22"/>
          <w:szCs w:val="22"/>
        </w:rPr>
        <w:t>The activities of the Center are carried out on behalf of three Operators - KPO, TCO and NCOC, in close cooperation with the Ministry of Industry and Construction, the Ministry of Energy, the Authorized Body</w:t>
      </w:r>
      <w:r w:rsidR="00717E81" w:rsidRPr="007A5AA7">
        <w:rPr>
          <w:rFonts w:cstheme="minorHAnsi"/>
          <w:sz w:val="22"/>
          <w:szCs w:val="22"/>
        </w:rPr>
        <w:t xml:space="preserve"> </w:t>
      </w:r>
      <w:r w:rsidRPr="007A5AA7">
        <w:rPr>
          <w:rFonts w:cstheme="minorHAnsi"/>
          <w:sz w:val="22"/>
          <w:szCs w:val="22"/>
        </w:rPr>
        <w:t>PSA LLP, as well as with the Kazakhstan Electric Power Association (KEA) and the Union of Mechanical Engineers of Kazakhstan (</w:t>
      </w:r>
      <w:r w:rsidR="00717E81" w:rsidRPr="007A5AA7">
        <w:rPr>
          <w:rFonts w:cstheme="minorHAnsi"/>
          <w:sz w:val="22"/>
          <w:szCs w:val="22"/>
        </w:rPr>
        <w:t>UMEK</w:t>
      </w:r>
      <w:r w:rsidRPr="007A5AA7">
        <w:rPr>
          <w:rFonts w:cstheme="minorHAnsi"/>
          <w:sz w:val="22"/>
          <w:szCs w:val="22"/>
        </w:rPr>
        <w:t xml:space="preserve">). </w:t>
      </w:r>
    </w:p>
    <w:p w14:paraId="26A5C317" w14:textId="4602BADD" w:rsidR="00E60487" w:rsidRPr="007A5AA7" w:rsidRDefault="00902784" w:rsidP="00C84940">
      <w:pPr>
        <w:spacing w:after="120"/>
        <w:jc w:val="both"/>
        <w:rPr>
          <w:rFonts w:cstheme="minorHAnsi"/>
        </w:rPr>
      </w:pPr>
      <w:bookmarkStart w:id="1" w:name="_Hlk95985964"/>
      <w:bookmarkStart w:id="2" w:name="_Hlk141962914"/>
      <w:r w:rsidRPr="007A5AA7">
        <w:rPr>
          <w:rFonts w:cstheme="minorHAnsi"/>
        </w:rPr>
        <w:br/>
      </w:r>
      <w:r w:rsidR="00477002" w:rsidRPr="007A5AA7">
        <w:rPr>
          <w:rFonts w:cstheme="minorHAnsi"/>
        </w:rPr>
        <w:t xml:space="preserve">As part of the implementation of the roadmap, KPO together with the Minister of Energy of the Republic of Kazakhstan held weekly meetings from May to September 2022 to discuss procurement issues: </w:t>
      </w:r>
      <w:bookmarkEnd w:id="1"/>
    </w:p>
    <w:p w14:paraId="7F4FA38D" w14:textId="71C78913" w:rsidR="00E60487" w:rsidRPr="007A5AA7" w:rsidRDefault="00E60487" w:rsidP="00C84940">
      <w:pPr>
        <w:spacing w:after="120"/>
        <w:jc w:val="both"/>
        <w:rPr>
          <w:rFonts w:cstheme="minorHAnsi"/>
        </w:rPr>
      </w:pPr>
      <w:r w:rsidRPr="007A5AA7">
        <w:rPr>
          <w:rFonts w:cstheme="minorHAnsi"/>
        </w:rPr>
        <w:t xml:space="preserve">- In 2022, 6 contracts were concluded, 4 trial orders (TO) were initiated; </w:t>
      </w:r>
    </w:p>
    <w:p w14:paraId="3B1B193B" w14:textId="74D654F5" w:rsidR="00E60487" w:rsidRPr="007A5AA7" w:rsidRDefault="00E60487" w:rsidP="00C84940">
      <w:pPr>
        <w:spacing w:after="120"/>
        <w:jc w:val="both"/>
        <w:rPr>
          <w:rFonts w:cstheme="minorHAnsi"/>
        </w:rPr>
      </w:pPr>
      <w:r w:rsidRPr="007A5AA7">
        <w:rPr>
          <w:rFonts w:cstheme="minorHAnsi"/>
        </w:rPr>
        <w:t xml:space="preserve">- In 2023, 3 trial orders were awarded and 1 contract started in 2022 is under development, an additional pressure gauge localization </w:t>
      </w:r>
      <w:r w:rsidR="003264FB" w:rsidRPr="007A5AA7">
        <w:rPr>
          <w:rFonts w:cstheme="minorHAnsi"/>
          <w:lang w:val="en-US"/>
        </w:rPr>
        <w:t>frame</w:t>
      </w:r>
      <w:r w:rsidRPr="007A5AA7">
        <w:rPr>
          <w:rFonts w:cstheme="minorHAnsi"/>
        </w:rPr>
        <w:t xml:space="preserve"> is under development.</w:t>
      </w:r>
    </w:p>
    <w:p w14:paraId="0E962645" w14:textId="77777777" w:rsidR="003D35CA" w:rsidRDefault="003D35CA" w:rsidP="00C84940">
      <w:pPr>
        <w:spacing w:before="120" w:after="120"/>
        <w:jc w:val="both"/>
        <w:rPr>
          <w:rFonts w:eastAsia="Calibri" w:cstheme="minorHAnsi"/>
        </w:rPr>
      </w:pPr>
    </w:p>
    <w:p w14:paraId="64577531" w14:textId="2F84A40C" w:rsidR="00C84940" w:rsidRPr="007A5AA7" w:rsidRDefault="00C84940" w:rsidP="00C84940">
      <w:pPr>
        <w:spacing w:before="120" w:after="120"/>
        <w:jc w:val="both"/>
        <w:rPr>
          <w:rFonts w:eastAsia="Calibri" w:cstheme="minorHAnsi"/>
        </w:rPr>
      </w:pPr>
      <w:r w:rsidRPr="007A5AA7">
        <w:rPr>
          <w:rFonts w:eastAsia="Calibri" w:cstheme="minorHAnsi"/>
        </w:rPr>
        <w:t xml:space="preserve">As part of the Relationship Agreement between the three major operators and the IMB Center, signed on April 8, 2021, the Annual Work Plan and Budget with Key Performance Indicators (KPIs), which are proposed by the IMB Center and approved by the Operators, are reviewed on an annual basis. Also, IMB Center twice a year submits for consideration a report on the implementation of the Annual Plan and Budget, in the format and templates of reports approved by the Operators. </w:t>
      </w:r>
    </w:p>
    <w:p w14:paraId="0A37BFC2" w14:textId="37711991" w:rsidR="00C84940" w:rsidRPr="007A5AA7" w:rsidRDefault="00C84940" w:rsidP="00C84940">
      <w:pPr>
        <w:spacing w:after="120"/>
        <w:jc w:val="both"/>
        <w:rPr>
          <w:rFonts w:eastAsia="Calibri" w:cstheme="minorHAnsi"/>
        </w:rPr>
      </w:pPr>
      <w:r w:rsidRPr="007A5AA7">
        <w:rPr>
          <w:rFonts w:eastAsia="Calibri" w:cstheme="minorHAnsi"/>
        </w:rPr>
        <w:t xml:space="preserve">In 2023, IMB </w:t>
      </w:r>
      <w:r w:rsidR="007A5AA7" w:rsidRPr="007A5AA7">
        <w:rPr>
          <w:rFonts w:eastAsia="Calibri" w:cstheme="minorHAnsi"/>
        </w:rPr>
        <w:t>Centre</w:t>
      </w:r>
      <w:r w:rsidRPr="007A5AA7">
        <w:rPr>
          <w:rFonts w:eastAsia="Calibri" w:cstheme="minorHAnsi"/>
        </w:rPr>
        <w:t xml:space="preserve"> continued its capacity development activities with local manufacturers of Group A and B products, namely: valves, electrical and instrumentation, piping, pumps and seals, air conditioning systems (HVAC) and process filters. Thus, IMB Center is currently conducting a capacity development plan with 11 local companies: </w:t>
      </w:r>
      <w:proofErr w:type="spellStart"/>
      <w:r w:rsidRPr="007A5AA7">
        <w:rPr>
          <w:rFonts w:eastAsia="Calibri" w:cstheme="minorHAnsi"/>
        </w:rPr>
        <w:t>Goreltech</w:t>
      </w:r>
      <w:proofErr w:type="spellEnd"/>
      <w:r w:rsidRPr="007A5AA7">
        <w:rPr>
          <w:rFonts w:eastAsia="Calibri" w:cstheme="minorHAnsi"/>
        </w:rPr>
        <w:t xml:space="preserve"> Plant LLP, </w:t>
      </w:r>
      <w:proofErr w:type="spellStart"/>
      <w:r w:rsidRPr="007A5AA7">
        <w:rPr>
          <w:rFonts w:eastAsia="Calibri" w:cstheme="minorHAnsi"/>
        </w:rPr>
        <w:t>B</w:t>
      </w:r>
      <w:r w:rsidR="00361F87" w:rsidRPr="007A5AA7">
        <w:rPr>
          <w:rFonts w:eastAsia="Calibri" w:cstheme="minorHAnsi"/>
        </w:rPr>
        <w:t>yo</w:t>
      </w:r>
      <w:r w:rsidRPr="007A5AA7">
        <w:rPr>
          <w:rFonts w:eastAsia="Calibri" w:cstheme="minorHAnsi"/>
        </w:rPr>
        <w:t>mer</w:t>
      </w:r>
      <w:proofErr w:type="spellEnd"/>
      <w:r w:rsidRPr="007A5AA7">
        <w:rPr>
          <w:rFonts w:eastAsia="Calibri" w:cstheme="minorHAnsi"/>
        </w:rPr>
        <w:t xml:space="preserve"> </w:t>
      </w:r>
      <w:proofErr w:type="spellStart"/>
      <w:r w:rsidRPr="007A5AA7">
        <w:rPr>
          <w:rFonts w:eastAsia="Calibri" w:cstheme="minorHAnsi"/>
        </w:rPr>
        <w:t>Armatura</w:t>
      </w:r>
      <w:proofErr w:type="spellEnd"/>
      <w:r w:rsidRPr="007A5AA7">
        <w:rPr>
          <w:rFonts w:eastAsia="Calibri" w:cstheme="minorHAnsi"/>
        </w:rPr>
        <w:t xml:space="preserve"> LLP, </w:t>
      </w:r>
      <w:proofErr w:type="spellStart"/>
      <w:r w:rsidRPr="007A5AA7">
        <w:rPr>
          <w:rFonts w:eastAsia="Calibri" w:cstheme="minorHAnsi"/>
        </w:rPr>
        <w:t>Sferova</w:t>
      </w:r>
      <w:proofErr w:type="spellEnd"/>
      <w:r w:rsidRPr="007A5AA7">
        <w:rPr>
          <w:rFonts w:eastAsia="Calibri" w:cstheme="minorHAnsi"/>
        </w:rPr>
        <w:t xml:space="preserve"> Kazakhstan LLP, KazEnergoCable JSC, Prolux LED LLP, Sigma Solutions LLP, KMG Automation LLP, Novus S</w:t>
      </w:r>
      <w:r w:rsidR="00806E6A" w:rsidRPr="007A5AA7">
        <w:rPr>
          <w:rFonts w:eastAsia="Calibri" w:cstheme="minorHAnsi"/>
        </w:rPr>
        <w:t>ea</w:t>
      </w:r>
      <w:r w:rsidRPr="007A5AA7">
        <w:rPr>
          <w:rFonts w:eastAsia="Calibri" w:cstheme="minorHAnsi"/>
        </w:rPr>
        <w:t xml:space="preserve">ling Caspian LLP, Kazelectromash LLP, Asiafilter Inc LLP, F.A.D. Kazakhstan LLP, and is also negotiating with 17 companies that want to localize in the territory of the Republic of Kazakhstan. </w:t>
      </w:r>
    </w:p>
    <w:p w14:paraId="17C4189F" w14:textId="77777777" w:rsidR="00C84940" w:rsidRPr="007A5AA7" w:rsidRDefault="00C84940" w:rsidP="00C84940">
      <w:pPr>
        <w:spacing w:after="120"/>
        <w:jc w:val="both"/>
        <w:rPr>
          <w:rFonts w:eastAsia="Calibri" w:cstheme="minorHAnsi"/>
        </w:rPr>
      </w:pPr>
      <w:r w:rsidRPr="007A5AA7">
        <w:rPr>
          <w:rFonts w:eastAsia="Calibri" w:cstheme="minorHAnsi"/>
        </w:rPr>
        <w:t>Also, in 2023, the Operators agreed on a list of product categories (product Group C), which includes: lifting mechanisms, heat exchangers, air coolers, fire-fighting equipment, insulation and chemicals.</w:t>
      </w:r>
    </w:p>
    <w:p w14:paraId="019E56BF" w14:textId="77777777" w:rsidR="00902509" w:rsidRPr="007A5AA7" w:rsidRDefault="00902509" w:rsidP="00902509">
      <w:pPr>
        <w:pStyle w:val="FootnoteText"/>
        <w:spacing w:line="276" w:lineRule="auto"/>
        <w:rPr>
          <w:rFonts w:cstheme="minorHAnsi"/>
          <w:sz w:val="22"/>
          <w:szCs w:val="22"/>
        </w:rPr>
      </w:pPr>
    </w:p>
    <w:p w14:paraId="08047FF2" w14:textId="669C67DF" w:rsidR="00997B4B" w:rsidRPr="007A5AA7" w:rsidRDefault="00FB4E8C" w:rsidP="00D25B46">
      <w:pPr>
        <w:pStyle w:val="FootnoteText"/>
        <w:spacing w:line="276" w:lineRule="auto"/>
        <w:jc w:val="both"/>
        <w:rPr>
          <w:rFonts w:cstheme="minorHAnsi"/>
          <w:sz w:val="22"/>
          <w:szCs w:val="22"/>
        </w:rPr>
      </w:pPr>
      <w:r w:rsidRPr="007A5AA7">
        <w:rPr>
          <w:rFonts w:cstheme="minorHAnsi"/>
          <w:sz w:val="22"/>
          <w:szCs w:val="22"/>
        </w:rPr>
        <w:t xml:space="preserve">In order to attract investments and develop production in the territory of the Republic of Kazakhstan, during 2023, KPO continued to work with original equipment manufacturers (OEMs) to implement the signed roadmaps, including </w:t>
      </w:r>
      <w:r w:rsidR="006D67D1" w:rsidRPr="007A5AA7">
        <w:rPr>
          <w:rFonts w:cstheme="minorHAnsi"/>
          <w:sz w:val="22"/>
          <w:szCs w:val="22"/>
          <w:lang w:val="en-US"/>
        </w:rPr>
        <w:t>due to</w:t>
      </w:r>
      <w:r w:rsidRPr="007A5AA7">
        <w:rPr>
          <w:rFonts w:cstheme="minorHAnsi"/>
          <w:sz w:val="22"/>
          <w:szCs w:val="22"/>
        </w:rPr>
        <w:t xml:space="preserve"> attracting new manufacturers. </w:t>
      </w:r>
    </w:p>
    <w:p w14:paraId="1FBD55C9" w14:textId="665C9A85" w:rsidR="00997B4B" w:rsidRPr="007A5AA7" w:rsidRDefault="00756771" w:rsidP="00D25B46">
      <w:pPr>
        <w:pStyle w:val="FootnoteText"/>
        <w:spacing w:line="276" w:lineRule="auto"/>
        <w:jc w:val="both"/>
        <w:rPr>
          <w:rFonts w:cstheme="minorHAnsi"/>
          <w:sz w:val="22"/>
          <w:szCs w:val="22"/>
        </w:rPr>
      </w:pPr>
      <w:r w:rsidRPr="007A5AA7">
        <w:rPr>
          <w:rFonts w:cstheme="minorHAnsi"/>
          <w:sz w:val="22"/>
          <w:szCs w:val="22"/>
        </w:rPr>
        <w:t>In order to expand localization capabilities, KPO has started to consider imported goods that do not belong to the "OEM" category; Localization of such goods was considered on the basis of constant demand and compliance of goods with KPO specifications.</w:t>
      </w:r>
    </w:p>
    <w:p w14:paraId="32729E0D" w14:textId="507F4703" w:rsidR="003679F7" w:rsidRPr="007A5AA7" w:rsidRDefault="00FB4E8C" w:rsidP="00756771">
      <w:pPr>
        <w:pStyle w:val="FootnoteText"/>
        <w:spacing w:before="240" w:line="276" w:lineRule="auto"/>
        <w:jc w:val="both"/>
        <w:rPr>
          <w:rFonts w:cstheme="minorHAnsi"/>
          <w:sz w:val="22"/>
          <w:szCs w:val="22"/>
        </w:rPr>
      </w:pPr>
      <w:r w:rsidRPr="007A5AA7">
        <w:rPr>
          <w:rFonts w:cstheme="minorHAnsi"/>
          <w:sz w:val="22"/>
          <w:szCs w:val="22"/>
        </w:rPr>
        <w:t xml:space="preserve">Since the introduction of the initiative to localize the production of this type of equipment in </w:t>
      </w:r>
      <w:r w:rsidRPr="005C0FA2">
        <w:rPr>
          <w:rFonts w:cstheme="minorHAnsi"/>
          <w:color w:val="FF0000"/>
          <w:sz w:val="22"/>
          <w:szCs w:val="22"/>
        </w:rPr>
        <w:t>20</w:t>
      </w:r>
      <w:r w:rsidR="005C0FA2" w:rsidRPr="005C0FA2">
        <w:rPr>
          <w:rFonts w:cstheme="minorHAnsi"/>
          <w:color w:val="FF0000"/>
          <w:sz w:val="22"/>
          <w:szCs w:val="22"/>
        </w:rPr>
        <w:t>2</w:t>
      </w:r>
      <w:r w:rsidRPr="005C0FA2">
        <w:rPr>
          <w:rFonts w:cstheme="minorHAnsi"/>
          <w:color w:val="FF0000"/>
          <w:sz w:val="22"/>
          <w:szCs w:val="22"/>
        </w:rPr>
        <w:t>9</w:t>
      </w:r>
      <w:r w:rsidRPr="007A5AA7">
        <w:rPr>
          <w:rFonts w:cstheme="minorHAnsi"/>
          <w:sz w:val="22"/>
          <w:szCs w:val="22"/>
        </w:rPr>
        <w:t xml:space="preserve">, KPO has signed 16 roadmaps for the localization of goods, awarded 6 contracts worth </w:t>
      </w:r>
      <w:r w:rsidR="00FB6BEB" w:rsidRPr="007A5AA7">
        <w:rPr>
          <w:rFonts w:cstheme="minorHAnsi"/>
          <w:sz w:val="22"/>
          <w:szCs w:val="22"/>
        </w:rPr>
        <w:t xml:space="preserve">US$ </w:t>
      </w:r>
      <w:r w:rsidRPr="007A5AA7">
        <w:rPr>
          <w:rFonts w:cstheme="minorHAnsi"/>
          <w:sz w:val="22"/>
          <w:szCs w:val="22"/>
        </w:rPr>
        <w:t>17.7 million</w:t>
      </w:r>
      <w:r w:rsidR="00F95BC9" w:rsidRPr="007A5AA7">
        <w:rPr>
          <w:rFonts w:cstheme="minorHAnsi"/>
          <w:sz w:val="22"/>
          <w:szCs w:val="22"/>
        </w:rPr>
        <w:t xml:space="preserve"> </w:t>
      </w:r>
      <w:r w:rsidRPr="007A5AA7">
        <w:rPr>
          <w:rFonts w:cstheme="minorHAnsi"/>
          <w:sz w:val="22"/>
          <w:szCs w:val="22"/>
        </w:rPr>
        <w:t xml:space="preserve">with Original Equipment Manufacturers. KPO will continue to work on the implementation of roadmaps, within the framework of which investments in the amount of more than </w:t>
      </w:r>
      <w:r w:rsidR="00FB6BEB" w:rsidRPr="007A5AA7">
        <w:rPr>
          <w:rFonts w:cstheme="minorHAnsi"/>
          <w:sz w:val="22"/>
          <w:szCs w:val="22"/>
        </w:rPr>
        <w:t xml:space="preserve">US$ </w:t>
      </w:r>
      <w:r w:rsidRPr="007A5AA7">
        <w:rPr>
          <w:rFonts w:cstheme="minorHAnsi"/>
          <w:sz w:val="22"/>
          <w:szCs w:val="22"/>
        </w:rPr>
        <w:t>21 million</w:t>
      </w:r>
      <w:r w:rsidR="00FB6BEB" w:rsidRPr="007A5AA7">
        <w:rPr>
          <w:rFonts w:cstheme="minorHAnsi"/>
          <w:sz w:val="22"/>
          <w:szCs w:val="22"/>
        </w:rPr>
        <w:t xml:space="preserve"> </w:t>
      </w:r>
      <w:r w:rsidRPr="007A5AA7">
        <w:rPr>
          <w:rFonts w:cstheme="minorHAnsi"/>
          <w:sz w:val="22"/>
          <w:szCs w:val="22"/>
        </w:rPr>
        <w:t xml:space="preserve">are planned and the creation of more than 350 new jobs.  </w:t>
      </w:r>
    </w:p>
    <w:bookmarkEnd w:id="2"/>
    <w:p w14:paraId="27409C48" w14:textId="77777777" w:rsidR="009D2B10" w:rsidRDefault="009D2B10" w:rsidP="00E55C62">
      <w:pPr>
        <w:spacing w:after="120"/>
        <w:rPr>
          <w:rFonts w:cstheme="minorHAnsi"/>
          <w:b/>
          <w:color w:val="1F497D" w:themeColor="text2"/>
        </w:rPr>
      </w:pPr>
    </w:p>
    <w:p w14:paraId="72262932" w14:textId="44B678AF" w:rsidR="00E55C62" w:rsidRPr="001702B9" w:rsidRDefault="00E55C62" w:rsidP="00E55C62">
      <w:pPr>
        <w:spacing w:after="120"/>
        <w:rPr>
          <w:rFonts w:cstheme="minorHAnsi"/>
          <w:b/>
          <w:color w:val="1F497D" w:themeColor="text2"/>
        </w:rPr>
      </w:pPr>
      <w:r w:rsidRPr="00587C36">
        <w:rPr>
          <w:rFonts w:cstheme="minorHAnsi"/>
          <w:b/>
          <w:color w:val="1F497D" w:themeColor="text2"/>
        </w:rPr>
        <w:lastRenderedPageBreak/>
        <w:br/>
        <w:t xml:space="preserve">Interaction on Local Content Issues </w:t>
      </w:r>
    </w:p>
    <w:p w14:paraId="2C720523" w14:textId="28D13681" w:rsidR="00815A38" w:rsidRPr="00D31223" w:rsidRDefault="009A33FA" w:rsidP="00D25B46">
      <w:pPr>
        <w:spacing w:after="120"/>
        <w:jc w:val="both"/>
        <w:rPr>
          <w:rFonts w:cstheme="minorHAnsi"/>
        </w:rPr>
      </w:pPr>
      <w:r w:rsidRPr="00D31223">
        <w:rPr>
          <w:rFonts w:cstheme="minorHAnsi"/>
        </w:rPr>
        <w:t xml:space="preserve">As part of the development and increase of </w:t>
      </w:r>
      <w:r w:rsidR="00C800B9" w:rsidRPr="00D31223">
        <w:rPr>
          <w:rFonts w:cstheme="minorHAnsi"/>
        </w:rPr>
        <w:t>LC</w:t>
      </w:r>
      <w:r w:rsidRPr="00D31223">
        <w:rPr>
          <w:rFonts w:cstheme="minorHAnsi"/>
        </w:rPr>
        <w:t xml:space="preserve"> in its production activities and in new projects, KPO regularly holds events in order to familiarize local and international suppliers, authorized state bodies (</w:t>
      </w:r>
      <w:r w:rsidR="00A67AF5" w:rsidRPr="00D31223">
        <w:rPr>
          <w:rFonts w:cstheme="minorHAnsi"/>
        </w:rPr>
        <w:t>Ministry of Energy</w:t>
      </w:r>
      <w:r w:rsidRPr="00D31223">
        <w:rPr>
          <w:rFonts w:cstheme="minorHAnsi"/>
        </w:rPr>
        <w:t xml:space="preserve">, PSA LLP, </w:t>
      </w:r>
      <w:r w:rsidR="00A67AF5" w:rsidRPr="00D31223">
        <w:rPr>
          <w:rFonts w:cstheme="minorHAnsi"/>
        </w:rPr>
        <w:t xml:space="preserve">WKO </w:t>
      </w:r>
      <w:proofErr w:type="spellStart"/>
      <w:r w:rsidR="00A67AF5" w:rsidRPr="00D31223">
        <w:rPr>
          <w:rFonts w:cstheme="minorHAnsi"/>
        </w:rPr>
        <w:t>A</w:t>
      </w:r>
      <w:r w:rsidRPr="00D31223">
        <w:rPr>
          <w:rFonts w:cstheme="minorHAnsi"/>
        </w:rPr>
        <w:t>kimat</w:t>
      </w:r>
      <w:proofErr w:type="spellEnd"/>
      <w:r w:rsidRPr="00D31223">
        <w:rPr>
          <w:rFonts w:cstheme="minorHAnsi"/>
        </w:rPr>
        <w:t xml:space="preserve">), as well as associations (Union of Machine Builders of Kazakhstan, Council for the Development of Strategic Partnerships in the Oil and Gas Industry Petrocouncil.kz, Union of Oilfield Service Companies KAZSERVICE) on the development of </w:t>
      </w:r>
      <w:r w:rsidR="00C800B9" w:rsidRPr="00D31223">
        <w:rPr>
          <w:rFonts w:cstheme="minorHAnsi"/>
        </w:rPr>
        <w:t>LC</w:t>
      </w:r>
      <w:r w:rsidR="00D941FA" w:rsidRPr="00D31223">
        <w:rPr>
          <w:rFonts w:cstheme="minorHAnsi"/>
        </w:rPr>
        <w:t>,</w:t>
      </w:r>
      <w:r w:rsidRPr="00D31223">
        <w:rPr>
          <w:rFonts w:cstheme="minorHAnsi"/>
        </w:rPr>
        <w:t xml:space="preserve"> with current purchase volumes and plans for the coming period. The Company shares information about its needs for goods, works and services (GWS) both as part of its current operations and capital projects, as well as with technical </w:t>
      </w:r>
      <w:r w:rsidR="00F204F6" w:rsidRPr="00D31223">
        <w:rPr>
          <w:rFonts w:cstheme="minorHAnsi"/>
          <w:lang w:val="en-US"/>
        </w:rPr>
        <w:t>terms</w:t>
      </w:r>
      <w:r w:rsidRPr="00D31223">
        <w:rPr>
          <w:rFonts w:cstheme="minorHAnsi"/>
        </w:rPr>
        <w:t xml:space="preserve"> and specifications. </w:t>
      </w:r>
    </w:p>
    <w:p w14:paraId="5BEE17DD" w14:textId="68E52BC8" w:rsidR="007C34B8" w:rsidRPr="001702B9" w:rsidRDefault="007C34B8" w:rsidP="0083095B">
      <w:pPr>
        <w:spacing w:before="120" w:after="120"/>
        <w:rPr>
          <w:rFonts w:cstheme="minorHAnsi"/>
        </w:rPr>
      </w:pPr>
    </w:p>
    <w:sectPr w:rsidR="007C34B8" w:rsidRPr="001702B9" w:rsidSect="00A67AF5">
      <w:headerReference w:type="default" r:id="rId12"/>
      <w:footerReference w:type="default" r:id="rId13"/>
      <w:pgSz w:w="11906" w:h="16838"/>
      <w:pgMar w:top="714" w:right="1276" w:bottom="709"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F0DB" w14:textId="77777777" w:rsidR="001B4B76" w:rsidRDefault="001B4B76">
      <w:pPr>
        <w:spacing w:after="0" w:line="240" w:lineRule="auto"/>
      </w:pPr>
      <w:r>
        <w:separator/>
      </w:r>
    </w:p>
  </w:endnote>
  <w:endnote w:type="continuationSeparator" w:id="0">
    <w:p w14:paraId="3F250B48" w14:textId="77777777" w:rsidR="001B4B76" w:rsidRDefault="001B4B76">
      <w:pPr>
        <w:spacing w:after="0" w:line="240" w:lineRule="auto"/>
      </w:pPr>
      <w:r>
        <w:continuationSeparator/>
      </w:r>
    </w:p>
  </w:endnote>
  <w:endnote w:type="continuationNotice" w:id="1">
    <w:p w14:paraId="16248E57" w14:textId="77777777" w:rsidR="001B4B76" w:rsidRDefault="001B4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sans-regular">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3C41" w14:textId="16DB5FAE" w:rsidR="007A29B0" w:rsidRDefault="007A29B0">
    <w:pPr>
      <w:pStyle w:val="Footer"/>
      <w:jc w:val="right"/>
    </w:pPr>
    <w:r>
      <w:fldChar w:fldCharType="begin"/>
    </w:r>
    <w:r>
      <w:instrText xml:space="preserve"> PAGE   \* MERGEFORMAT </w:instrText>
    </w:r>
    <w:r>
      <w:fldChar w:fldCharType="separate"/>
    </w:r>
    <w:r w:rsidR="00B73023">
      <w:rPr>
        <w:noProof/>
      </w:rPr>
      <w:t>1</w:t>
    </w:r>
    <w:r>
      <w:rPr>
        <w:noProof/>
      </w:rPr>
      <w:fldChar w:fldCharType="end"/>
    </w:r>
  </w:p>
  <w:p w14:paraId="1BA94B1A" w14:textId="77777777" w:rsidR="007A29B0" w:rsidRDefault="007A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F5B07" w14:textId="77777777" w:rsidR="001B4B76" w:rsidRDefault="001B4B76">
      <w:pPr>
        <w:spacing w:after="0" w:line="240" w:lineRule="auto"/>
      </w:pPr>
      <w:r>
        <w:separator/>
      </w:r>
    </w:p>
  </w:footnote>
  <w:footnote w:type="continuationSeparator" w:id="0">
    <w:p w14:paraId="552BEBEA" w14:textId="77777777" w:rsidR="001B4B76" w:rsidRDefault="001B4B76">
      <w:pPr>
        <w:spacing w:after="0" w:line="240" w:lineRule="auto"/>
      </w:pPr>
      <w:r>
        <w:continuationSeparator/>
      </w:r>
    </w:p>
  </w:footnote>
  <w:footnote w:type="continuationNotice" w:id="1">
    <w:p w14:paraId="3C9EB539" w14:textId="77777777" w:rsidR="001B4B76" w:rsidRDefault="001B4B76">
      <w:pPr>
        <w:spacing w:after="0" w:line="240" w:lineRule="auto"/>
      </w:pPr>
    </w:p>
  </w:footnote>
  <w:footnote w:id="2">
    <w:p w14:paraId="6EE8FAF7" w14:textId="0C2070F4" w:rsidR="007A29B0" w:rsidRPr="00E142BB" w:rsidRDefault="007A29B0" w:rsidP="00E142BB">
      <w:pPr>
        <w:pStyle w:val="FootnoteText"/>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6055" w14:textId="77777777" w:rsidR="007A29B0" w:rsidRPr="00865806" w:rsidRDefault="007A29B0" w:rsidP="004474F3">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BEE"/>
    <w:multiLevelType w:val="hybridMultilevel"/>
    <w:tmpl w:val="61240400"/>
    <w:lvl w:ilvl="0" w:tplc="05EC9120">
      <w:start w:val="1"/>
      <w:numFmt w:val="bullet"/>
      <w:lvlText w:val=""/>
      <w:lvlJc w:val="left"/>
      <w:pPr>
        <w:ind w:left="720" w:hanging="360"/>
      </w:pPr>
      <w:rPr>
        <w:rFonts w:ascii="Wingdings" w:hAnsi="Wingdings"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A3948"/>
    <w:multiLevelType w:val="hybridMultilevel"/>
    <w:tmpl w:val="99EC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05443"/>
    <w:multiLevelType w:val="hybridMultilevel"/>
    <w:tmpl w:val="573E5C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25599"/>
    <w:multiLevelType w:val="hybridMultilevel"/>
    <w:tmpl w:val="1FBCF0FC"/>
    <w:lvl w:ilvl="0" w:tplc="05EC9120">
      <w:start w:val="1"/>
      <w:numFmt w:val="bullet"/>
      <w:lvlText w:val=""/>
      <w:lvlJc w:val="left"/>
      <w:pPr>
        <w:ind w:left="720" w:hanging="360"/>
      </w:pPr>
      <w:rPr>
        <w:rFonts w:ascii="Wingdings" w:hAnsi="Wingdings" w:hint="default"/>
        <w:color w:val="FFC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C3261"/>
    <w:multiLevelType w:val="hybridMultilevel"/>
    <w:tmpl w:val="FF90B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70A2A"/>
    <w:multiLevelType w:val="hybridMultilevel"/>
    <w:tmpl w:val="2F4E2800"/>
    <w:lvl w:ilvl="0" w:tplc="08090005">
      <w:start w:val="1"/>
      <w:numFmt w:val="bullet"/>
      <w:lvlText w:val=""/>
      <w:lvlJc w:val="left"/>
      <w:pPr>
        <w:ind w:left="372" w:hanging="360"/>
      </w:pPr>
      <w:rPr>
        <w:rFonts w:ascii="Wingdings" w:hAnsi="Wingdings"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6" w15:restartNumberingAfterBreak="0">
    <w:nsid w:val="71017E6E"/>
    <w:multiLevelType w:val="hybridMultilevel"/>
    <w:tmpl w:val="1EAC32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2F"/>
    <w:rsid w:val="000006A9"/>
    <w:rsid w:val="0000441F"/>
    <w:rsid w:val="00005383"/>
    <w:rsid w:val="00005D24"/>
    <w:rsid w:val="000101BB"/>
    <w:rsid w:val="000134BA"/>
    <w:rsid w:val="00014F30"/>
    <w:rsid w:val="0001564B"/>
    <w:rsid w:val="00017EFB"/>
    <w:rsid w:val="00023011"/>
    <w:rsid w:val="0002396E"/>
    <w:rsid w:val="00026A76"/>
    <w:rsid w:val="00026BB5"/>
    <w:rsid w:val="00027564"/>
    <w:rsid w:val="00035E77"/>
    <w:rsid w:val="000444AA"/>
    <w:rsid w:val="00052C71"/>
    <w:rsid w:val="00052FAB"/>
    <w:rsid w:val="00055624"/>
    <w:rsid w:val="00061614"/>
    <w:rsid w:val="00061EDD"/>
    <w:rsid w:val="0006362F"/>
    <w:rsid w:val="00063A1E"/>
    <w:rsid w:val="00063F54"/>
    <w:rsid w:val="000652E7"/>
    <w:rsid w:val="0006654A"/>
    <w:rsid w:val="0006742B"/>
    <w:rsid w:val="00070943"/>
    <w:rsid w:val="00075DC0"/>
    <w:rsid w:val="00080D65"/>
    <w:rsid w:val="00082402"/>
    <w:rsid w:val="000864E0"/>
    <w:rsid w:val="0008755D"/>
    <w:rsid w:val="000877F1"/>
    <w:rsid w:val="00091868"/>
    <w:rsid w:val="000946F0"/>
    <w:rsid w:val="000949E6"/>
    <w:rsid w:val="00095447"/>
    <w:rsid w:val="0009552F"/>
    <w:rsid w:val="0009608F"/>
    <w:rsid w:val="00096EAA"/>
    <w:rsid w:val="000A0796"/>
    <w:rsid w:val="000A0EDD"/>
    <w:rsid w:val="000A0F5F"/>
    <w:rsid w:val="000A2F8E"/>
    <w:rsid w:val="000A5494"/>
    <w:rsid w:val="000B084C"/>
    <w:rsid w:val="000B2850"/>
    <w:rsid w:val="000C29B8"/>
    <w:rsid w:val="000C37DD"/>
    <w:rsid w:val="000C39AB"/>
    <w:rsid w:val="000C43C1"/>
    <w:rsid w:val="000C6F6D"/>
    <w:rsid w:val="000C7783"/>
    <w:rsid w:val="000D09E4"/>
    <w:rsid w:val="000D2CB9"/>
    <w:rsid w:val="000D3CE2"/>
    <w:rsid w:val="000D4732"/>
    <w:rsid w:val="000D6A97"/>
    <w:rsid w:val="000E1BD3"/>
    <w:rsid w:val="000E217E"/>
    <w:rsid w:val="000E577C"/>
    <w:rsid w:val="000F45F4"/>
    <w:rsid w:val="000F5517"/>
    <w:rsid w:val="000F6AF8"/>
    <w:rsid w:val="000F7E8C"/>
    <w:rsid w:val="001021C2"/>
    <w:rsid w:val="001030E1"/>
    <w:rsid w:val="00106913"/>
    <w:rsid w:val="00112281"/>
    <w:rsid w:val="00112608"/>
    <w:rsid w:val="0011704D"/>
    <w:rsid w:val="001200C2"/>
    <w:rsid w:val="00120BE2"/>
    <w:rsid w:val="00124664"/>
    <w:rsid w:val="001267BA"/>
    <w:rsid w:val="001307E1"/>
    <w:rsid w:val="0013319D"/>
    <w:rsid w:val="001368FE"/>
    <w:rsid w:val="00136D0E"/>
    <w:rsid w:val="00140A85"/>
    <w:rsid w:val="00147342"/>
    <w:rsid w:val="00147F65"/>
    <w:rsid w:val="001566C6"/>
    <w:rsid w:val="001566DF"/>
    <w:rsid w:val="001573A6"/>
    <w:rsid w:val="0015779A"/>
    <w:rsid w:val="00157E38"/>
    <w:rsid w:val="0016282C"/>
    <w:rsid w:val="00163EA3"/>
    <w:rsid w:val="001653F3"/>
    <w:rsid w:val="00167A1E"/>
    <w:rsid w:val="001702B9"/>
    <w:rsid w:val="00171FFB"/>
    <w:rsid w:val="00172789"/>
    <w:rsid w:val="0017296B"/>
    <w:rsid w:val="00172F90"/>
    <w:rsid w:val="0017547C"/>
    <w:rsid w:val="0017682E"/>
    <w:rsid w:val="001771E4"/>
    <w:rsid w:val="00177571"/>
    <w:rsid w:val="00177CD8"/>
    <w:rsid w:val="001836D2"/>
    <w:rsid w:val="001844F0"/>
    <w:rsid w:val="001877DE"/>
    <w:rsid w:val="00190AE7"/>
    <w:rsid w:val="00191D9A"/>
    <w:rsid w:val="00191F3B"/>
    <w:rsid w:val="001977D1"/>
    <w:rsid w:val="00197A49"/>
    <w:rsid w:val="001A3A71"/>
    <w:rsid w:val="001A406F"/>
    <w:rsid w:val="001A5E6C"/>
    <w:rsid w:val="001A7EE8"/>
    <w:rsid w:val="001B010F"/>
    <w:rsid w:val="001B06DF"/>
    <w:rsid w:val="001B20B0"/>
    <w:rsid w:val="001B4B76"/>
    <w:rsid w:val="001B5517"/>
    <w:rsid w:val="001B7875"/>
    <w:rsid w:val="001C0162"/>
    <w:rsid w:val="001C1986"/>
    <w:rsid w:val="001C3499"/>
    <w:rsid w:val="001C6ABC"/>
    <w:rsid w:val="001C6D90"/>
    <w:rsid w:val="001C74C3"/>
    <w:rsid w:val="001D0E4B"/>
    <w:rsid w:val="001D32E6"/>
    <w:rsid w:val="001D43DB"/>
    <w:rsid w:val="001D4FCE"/>
    <w:rsid w:val="001D7093"/>
    <w:rsid w:val="001E3F41"/>
    <w:rsid w:val="001E433F"/>
    <w:rsid w:val="001F0B65"/>
    <w:rsid w:val="001F2F31"/>
    <w:rsid w:val="001F4C14"/>
    <w:rsid w:val="001F4EC7"/>
    <w:rsid w:val="001F6145"/>
    <w:rsid w:val="001F7801"/>
    <w:rsid w:val="00201457"/>
    <w:rsid w:val="002037D8"/>
    <w:rsid w:val="00207416"/>
    <w:rsid w:val="00207D32"/>
    <w:rsid w:val="002100DF"/>
    <w:rsid w:val="0021054F"/>
    <w:rsid w:val="00211F81"/>
    <w:rsid w:val="00211FA1"/>
    <w:rsid w:val="00213EC2"/>
    <w:rsid w:val="0021447B"/>
    <w:rsid w:val="002148D5"/>
    <w:rsid w:val="00215400"/>
    <w:rsid w:val="00216200"/>
    <w:rsid w:val="00217083"/>
    <w:rsid w:val="00220300"/>
    <w:rsid w:val="00221F5D"/>
    <w:rsid w:val="002224E7"/>
    <w:rsid w:val="00224042"/>
    <w:rsid w:val="0022412E"/>
    <w:rsid w:val="00225ABB"/>
    <w:rsid w:val="00226B64"/>
    <w:rsid w:val="00226E21"/>
    <w:rsid w:val="00230810"/>
    <w:rsid w:val="0023395B"/>
    <w:rsid w:val="00236378"/>
    <w:rsid w:val="0023642E"/>
    <w:rsid w:val="002365BF"/>
    <w:rsid w:val="00241D4A"/>
    <w:rsid w:val="0024251D"/>
    <w:rsid w:val="002435DA"/>
    <w:rsid w:val="00244CA6"/>
    <w:rsid w:val="00245576"/>
    <w:rsid w:val="0024640C"/>
    <w:rsid w:val="002471FA"/>
    <w:rsid w:val="00247F48"/>
    <w:rsid w:val="00250842"/>
    <w:rsid w:val="00251CD0"/>
    <w:rsid w:val="002535A3"/>
    <w:rsid w:val="002538DF"/>
    <w:rsid w:val="00254A4E"/>
    <w:rsid w:val="0025532A"/>
    <w:rsid w:val="00256B83"/>
    <w:rsid w:val="002605EB"/>
    <w:rsid w:val="002611E5"/>
    <w:rsid w:val="0026150B"/>
    <w:rsid w:val="00263C7B"/>
    <w:rsid w:val="002648BD"/>
    <w:rsid w:val="0026550D"/>
    <w:rsid w:val="00266233"/>
    <w:rsid w:val="0027011B"/>
    <w:rsid w:val="002703FF"/>
    <w:rsid w:val="00274B14"/>
    <w:rsid w:val="002779BB"/>
    <w:rsid w:val="00281074"/>
    <w:rsid w:val="002819AE"/>
    <w:rsid w:val="00281A96"/>
    <w:rsid w:val="00292ED4"/>
    <w:rsid w:val="00297AD1"/>
    <w:rsid w:val="00297F7C"/>
    <w:rsid w:val="002A0467"/>
    <w:rsid w:val="002A19C7"/>
    <w:rsid w:val="002A39C0"/>
    <w:rsid w:val="002A44BF"/>
    <w:rsid w:val="002A584C"/>
    <w:rsid w:val="002A68B4"/>
    <w:rsid w:val="002A6ED0"/>
    <w:rsid w:val="002A7881"/>
    <w:rsid w:val="002A7B8A"/>
    <w:rsid w:val="002B010B"/>
    <w:rsid w:val="002B14F6"/>
    <w:rsid w:val="002B2BE3"/>
    <w:rsid w:val="002B2FDA"/>
    <w:rsid w:val="002B3238"/>
    <w:rsid w:val="002B333C"/>
    <w:rsid w:val="002B3B86"/>
    <w:rsid w:val="002B3F7A"/>
    <w:rsid w:val="002B4B36"/>
    <w:rsid w:val="002B575B"/>
    <w:rsid w:val="002B59C0"/>
    <w:rsid w:val="002B5F8A"/>
    <w:rsid w:val="002C5F1E"/>
    <w:rsid w:val="002D2120"/>
    <w:rsid w:val="002D2598"/>
    <w:rsid w:val="002D4889"/>
    <w:rsid w:val="002D4EA9"/>
    <w:rsid w:val="002D5B19"/>
    <w:rsid w:val="002D5FD2"/>
    <w:rsid w:val="002D7C5D"/>
    <w:rsid w:val="002E0C8B"/>
    <w:rsid w:val="002E4BB4"/>
    <w:rsid w:val="002E6655"/>
    <w:rsid w:val="002E6E93"/>
    <w:rsid w:val="002E7280"/>
    <w:rsid w:val="002E750A"/>
    <w:rsid w:val="002F226F"/>
    <w:rsid w:val="002F3179"/>
    <w:rsid w:val="002F613F"/>
    <w:rsid w:val="002F7BA3"/>
    <w:rsid w:val="00301743"/>
    <w:rsid w:val="00301910"/>
    <w:rsid w:val="003020C7"/>
    <w:rsid w:val="0030618E"/>
    <w:rsid w:val="003106A5"/>
    <w:rsid w:val="00311622"/>
    <w:rsid w:val="003130B3"/>
    <w:rsid w:val="00314B42"/>
    <w:rsid w:val="00315FD7"/>
    <w:rsid w:val="0031697C"/>
    <w:rsid w:val="00316FF6"/>
    <w:rsid w:val="00320651"/>
    <w:rsid w:val="00322445"/>
    <w:rsid w:val="003264FB"/>
    <w:rsid w:val="00331BCC"/>
    <w:rsid w:val="00334391"/>
    <w:rsid w:val="003345BC"/>
    <w:rsid w:val="00335B22"/>
    <w:rsid w:val="00336131"/>
    <w:rsid w:val="003410D1"/>
    <w:rsid w:val="00342EE2"/>
    <w:rsid w:val="003437C4"/>
    <w:rsid w:val="00343F4C"/>
    <w:rsid w:val="003451E1"/>
    <w:rsid w:val="00346667"/>
    <w:rsid w:val="003469AF"/>
    <w:rsid w:val="003509AD"/>
    <w:rsid w:val="00351A03"/>
    <w:rsid w:val="0035465D"/>
    <w:rsid w:val="0035465F"/>
    <w:rsid w:val="003547BE"/>
    <w:rsid w:val="00357185"/>
    <w:rsid w:val="00357D6E"/>
    <w:rsid w:val="00361F87"/>
    <w:rsid w:val="0036638C"/>
    <w:rsid w:val="003670FA"/>
    <w:rsid w:val="003679F7"/>
    <w:rsid w:val="003701AD"/>
    <w:rsid w:val="003702A4"/>
    <w:rsid w:val="00370946"/>
    <w:rsid w:val="00371E4D"/>
    <w:rsid w:val="00372A20"/>
    <w:rsid w:val="00375395"/>
    <w:rsid w:val="00376997"/>
    <w:rsid w:val="00380F4D"/>
    <w:rsid w:val="0038574D"/>
    <w:rsid w:val="00387CE0"/>
    <w:rsid w:val="00396D89"/>
    <w:rsid w:val="003A1B9F"/>
    <w:rsid w:val="003A1FE6"/>
    <w:rsid w:val="003A3A31"/>
    <w:rsid w:val="003A733D"/>
    <w:rsid w:val="003B1796"/>
    <w:rsid w:val="003B1A7B"/>
    <w:rsid w:val="003B3D5A"/>
    <w:rsid w:val="003B50D3"/>
    <w:rsid w:val="003B65EA"/>
    <w:rsid w:val="003B68DF"/>
    <w:rsid w:val="003C022E"/>
    <w:rsid w:val="003C0390"/>
    <w:rsid w:val="003C2E72"/>
    <w:rsid w:val="003C4362"/>
    <w:rsid w:val="003C4FE2"/>
    <w:rsid w:val="003C6AD6"/>
    <w:rsid w:val="003D08D3"/>
    <w:rsid w:val="003D35CA"/>
    <w:rsid w:val="003D4FF1"/>
    <w:rsid w:val="003D50CF"/>
    <w:rsid w:val="003D6631"/>
    <w:rsid w:val="003D6CB4"/>
    <w:rsid w:val="003E1BAC"/>
    <w:rsid w:val="003E3848"/>
    <w:rsid w:val="003E3BCF"/>
    <w:rsid w:val="003E4F96"/>
    <w:rsid w:val="003E54AE"/>
    <w:rsid w:val="003E7514"/>
    <w:rsid w:val="003F244D"/>
    <w:rsid w:val="003F28C3"/>
    <w:rsid w:val="003F6874"/>
    <w:rsid w:val="003F6C49"/>
    <w:rsid w:val="00400861"/>
    <w:rsid w:val="00400E2F"/>
    <w:rsid w:val="00401332"/>
    <w:rsid w:val="00402331"/>
    <w:rsid w:val="0041060B"/>
    <w:rsid w:val="00411934"/>
    <w:rsid w:val="00412102"/>
    <w:rsid w:val="004151DA"/>
    <w:rsid w:val="0041678E"/>
    <w:rsid w:val="0042004B"/>
    <w:rsid w:val="00420D1A"/>
    <w:rsid w:val="00427122"/>
    <w:rsid w:val="00430CCF"/>
    <w:rsid w:val="004324EC"/>
    <w:rsid w:val="0043293A"/>
    <w:rsid w:val="00435A59"/>
    <w:rsid w:val="00435C54"/>
    <w:rsid w:val="00443BF2"/>
    <w:rsid w:val="00445D2F"/>
    <w:rsid w:val="004474F3"/>
    <w:rsid w:val="00452E8F"/>
    <w:rsid w:val="00454AD9"/>
    <w:rsid w:val="00456350"/>
    <w:rsid w:val="00461814"/>
    <w:rsid w:val="0046309F"/>
    <w:rsid w:val="00471DB2"/>
    <w:rsid w:val="00474291"/>
    <w:rsid w:val="00474C6C"/>
    <w:rsid w:val="00476E73"/>
    <w:rsid w:val="00477002"/>
    <w:rsid w:val="00483E24"/>
    <w:rsid w:val="00485873"/>
    <w:rsid w:val="00485C01"/>
    <w:rsid w:val="00490600"/>
    <w:rsid w:val="004929B2"/>
    <w:rsid w:val="00493E1B"/>
    <w:rsid w:val="00495E13"/>
    <w:rsid w:val="004A0F00"/>
    <w:rsid w:val="004A1F91"/>
    <w:rsid w:val="004A396B"/>
    <w:rsid w:val="004A46A8"/>
    <w:rsid w:val="004B16BD"/>
    <w:rsid w:val="004B3CF8"/>
    <w:rsid w:val="004B6DFE"/>
    <w:rsid w:val="004B6E04"/>
    <w:rsid w:val="004B7910"/>
    <w:rsid w:val="004C069F"/>
    <w:rsid w:val="004D0F08"/>
    <w:rsid w:val="004D16C1"/>
    <w:rsid w:val="004D39CA"/>
    <w:rsid w:val="004D5A90"/>
    <w:rsid w:val="004E1326"/>
    <w:rsid w:val="004E173F"/>
    <w:rsid w:val="004E234C"/>
    <w:rsid w:val="004E2D16"/>
    <w:rsid w:val="004E388A"/>
    <w:rsid w:val="004E6060"/>
    <w:rsid w:val="004E7C29"/>
    <w:rsid w:val="004F21A6"/>
    <w:rsid w:val="004F672D"/>
    <w:rsid w:val="0050040B"/>
    <w:rsid w:val="00502E01"/>
    <w:rsid w:val="00503929"/>
    <w:rsid w:val="0050549A"/>
    <w:rsid w:val="00505DA3"/>
    <w:rsid w:val="00507B1C"/>
    <w:rsid w:val="0051010E"/>
    <w:rsid w:val="00511B16"/>
    <w:rsid w:val="005126EE"/>
    <w:rsid w:val="0051281F"/>
    <w:rsid w:val="0051295B"/>
    <w:rsid w:val="00512C4F"/>
    <w:rsid w:val="00513C5E"/>
    <w:rsid w:val="00517312"/>
    <w:rsid w:val="0052053E"/>
    <w:rsid w:val="00531F03"/>
    <w:rsid w:val="00536A60"/>
    <w:rsid w:val="0054082D"/>
    <w:rsid w:val="0054169A"/>
    <w:rsid w:val="00544C2B"/>
    <w:rsid w:val="00546F10"/>
    <w:rsid w:val="00550785"/>
    <w:rsid w:val="00551580"/>
    <w:rsid w:val="00551990"/>
    <w:rsid w:val="00551EE1"/>
    <w:rsid w:val="00553D12"/>
    <w:rsid w:val="005553ED"/>
    <w:rsid w:val="00555D26"/>
    <w:rsid w:val="00561004"/>
    <w:rsid w:val="005624DA"/>
    <w:rsid w:val="0056388B"/>
    <w:rsid w:val="00564CFC"/>
    <w:rsid w:val="00564F77"/>
    <w:rsid w:val="005675DE"/>
    <w:rsid w:val="0057026E"/>
    <w:rsid w:val="005719C6"/>
    <w:rsid w:val="00573103"/>
    <w:rsid w:val="00577FC2"/>
    <w:rsid w:val="0058522F"/>
    <w:rsid w:val="00586794"/>
    <w:rsid w:val="00587C36"/>
    <w:rsid w:val="00587CA2"/>
    <w:rsid w:val="00591C09"/>
    <w:rsid w:val="005A0199"/>
    <w:rsid w:val="005A396C"/>
    <w:rsid w:val="005A653E"/>
    <w:rsid w:val="005A7699"/>
    <w:rsid w:val="005A77D2"/>
    <w:rsid w:val="005B159D"/>
    <w:rsid w:val="005B20BE"/>
    <w:rsid w:val="005B5074"/>
    <w:rsid w:val="005B56F0"/>
    <w:rsid w:val="005B5E35"/>
    <w:rsid w:val="005B72C0"/>
    <w:rsid w:val="005C0FA2"/>
    <w:rsid w:val="005C419E"/>
    <w:rsid w:val="005C5545"/>
    <w:rsid w:val="005D13C3"/>
    <w:rsid w:val="005D1A52"/>
    <w:rsid w:val="005D1D57"/>
    <w:rsid w:val="005D2017"/>
    <w:rsid w:val="005D2CCC"/>
    <w:rsid w:val="005D2CD0"/>
    <w:rsid w:val="005D37E0"/>
    <w:rsid w:val="005D3F90"/>
    <w:rsid w:val="005D40E9"/>
    <w:rsid w:val="005D77AF"/>
    <w:rsid w:val="005E0CAA"/>
    <w:rsid w:val="005F2047"/>
    <w:rsid w:val="005F4290"/>
    <w:rsid w:val="005F4320"/>
    <w:rsid w:val="005F582A"/>
    <w:rsid w:val="005F6E3F"/>
    <w:rsid w:val="005F7366"/>
    <w:rsid w:val="00602007"/>
    <w:rsid w:val="0060436A"/>
    <w:rsid w:val="0060706D"/>
    <w:rsid w:val="0061114F"/>
    <w:rsid w:val="0061189E"/>
    <w:rsid w:val="006120DD"/>
    <w:rsid w:val="00612B86"/>
    <w:rsid w:val="00615BCB"/>
    <w:rsid w:val="006231C9"/>
    <w:rsid w:val="00623B6F"/>
    <w:rsid w:val="006255E3"/>
    <w:rsid w:val="00626317"/>
    <w:rsid w:val="0063284B"/>
    <w:rsid w:val="0063286B"/>
    <w:rsid w:val="006336BF"/>
    <w:rsid w:val="00633C5B"/>
    <w:rsid w:val="00641B1F"/>
    <w:rsid w:val="00642E5A"/>
    <w:rsid w:val="006444D4"/>
    <w:rsid w:val="00646CBA"/>
    <w:rsid w:val="00646E80"/>
    <w:rsid w:val="00647878"/>
    <w:rsid w:val="006479A2"/>
    <w:rsid w:val="00647B12"/>
    <w:rsid w:val="00650FF2"/>
    <w:rsid w:val="00652FC7"/>
    <w:rsid w:val="0065402D"/>
    <w:rsid w:val="00656409"/>
    <w:rsid w:val="006566B5"/>
    <w:rsid w:val="006622C7"/>
    <w:rsid w:val="006659AC"/>
    <w:rsid w:val="006704F3"/>
    <w:rsid w:val="00673910"/>
    <w:rsid w:val="00675BB9"/>
    <w:rsid w:val="00676B25"/>
    <w:rsid w:val="00680314"/>
    <w:rsid w:val="006805D9"/>
    <w:rsid w:val="006874F3"/>
    <w:rsid w:val="00691900"/>
    <w:rsid w:val="0069287A"/>
    <w:rsid w:val="0069391A"/>
    <w:rsid w:val="00694092"/>
    <w:rsid w:val="00694E94"/>
    <w:rsid w:val="006A09A0"/>
    <w:rsid w:val="006A1A82"/>
    <w:rsid w:val="006A2DD3"/>
    <w:rsid w:val="006A4BE9"/>
    <w:rsid w:val="006A705A"/>
    <w:rsid w:val="006B06D0"/>
    <w:rsid w:val="006B0A52"/>
    <w:rsid w:val="006B3072"/>
    <w:rsid w:val="006B6DD6"/>
    <w:rsid w:val="006C22FD"/>
    <w:rsid w:val="006C3284"/>
    <w:rsid w:val="006C43BF"/>
    <w:rsid w:val="006C5286"/>
    <w:rsid w:val="006C7AF9"/>
    <w:rsid w:val="006D0B94"/>
    <w:rsid w:val="006D279B"/>
    <w:rsid w:val="006D279C"/>
    <w:rsid w:val="006D2B78"/>
    <w:rsid w:val="006D2BDD"/>
    <w:rsid w:val="006D389A"/>
    <w:rsid w:val="006D5A14"/>
    <w:rsid w:val="006D5FAD"/>
    <w:rsid w:val="006D67D1"/>
    <w:rsid w:val="006D703D"/>
    <w:rsid w:val="006E21B0"/>
    <w:rsid w:val="006E5122"/>
    <w:rsid w:val="006E6B16"/>
    <w:rsid w:val="006E7AAB"/>
    <w:rsid w:val="006F0789"/>
    <w:rsid w:val="006F0C9C"/>
    <w:rsid w:val="006F6BE1"/>
    <w:rsid w:val="00710D14"/>
    <w:rsid w:val="00710E33"/>
    <w:rsid w:val="007114E2"/>
    <w:rsid w:val="00713A43"/>
    <w:rsid w:val="007163EE"/>
    <w:rsid w:val="00717AD5"/>
    <w:rsid w:val="00717CC5"/>
    <w:rsid w:val="00717E81"/>
    <w:rsid w:val="007211FB"/>
    <w:rsid w:val="00721B51"/>
    <w:rsid w:val="00724ABB"/>
    <w:rsid w:val="007250ED"/>
    <w:rsid w:val="00726373"/>
    <w:rsid w:val="0072752F"/>
    <w:rsid w:val="00727B75"/>
    <w:rsid w:val="00732EFF"/>
    <w:rsid w:val="00733B2F"/>
    <w:rsid w:val="0073401E"/>
    <w:rsid w:val="00734C66"/>
    <w:rsid w:val="007377CD"/>
    <w:rsid w:val="00737D6D"/>
    <w:rsid w:val="00741A46"/>
    <w:rsid w:val="00744650"/>
    <w:rsid w:val="00745725"/>
    <w:rsid w:val="00747524"/>
    <w:rsid w:val="00756771"/>
    <w:rsid w:val="007571D7"/>
    <w:rsid w:val="0076172A"/>
    <w:rsid w:val="00763EF5"/>
    <w:rsid w:val="0076464F"/>
    <w:rsid w:val="007654B2"/>
    <w:rsid w:val="00767632"/>
    <w:rsid w:val="0076792E"/>
    <w:rsid w:val="007711ED"/>
    <w:rsid w:val="0077182F"/>
    <w:rsid w:val="00773A0F"/>
    <w:rsid w:val="00774326"/>
    <w:rsid w:val="00774A2A"/>
    <w:rsid w:val="0078354D"/>
    <w:rsid w:val="00783607"/>
    <w:rsid w:val="00786910"/>
    <w:rsid w:val="00790696"/>
    <w:rsid w:val="00790731"/>
    <w:rsid w:val="00790CE8"/>
    <w:rsid w:val="00791208"/>
    <w:rsid w:val="00793250"/>
    <w:rsid w:val="0079476E"/>
    <w:rsid w:val="00795FCD"/>
    <w:rsid w:val="00796C11"/>
    <w:rsid w:val="007978F8"/>
    <w:rsid w:val="007A07B8"/>
    <w:rsid w:val="007A193C"/>
    <w:rsid w:val="007A29B0"/>
    <w:rsid w:val="007A5AA7"/>
    <w:rsid w:val="007A5F64"/>
    <w:rsid w:val="007B24D0"/>
    <w:rsid w:val="007B272F"/>
    <w:rsid w:val="007B4773"/>
    <w:rsid w:val="007B671A"/>
    <w:rsid w:val="007B736A"/>
    <w:rsid w:val="007C06E7"/>
    <w:rsid w:val="007C2105"/>
    <w:rsid w:val="007C34B8"/>
    <w:rsid w:val="007C4A53"/>
    <w:rsid w:val="007D0AAA"/>
    <w:rsid w:val="007D1088"/>
    <w:rsid w:val="007D5FBD"/>
    <w:rsid w:val="007E0095"/>
    <w:rsid w:val="007E011D"/>
    <w:rsid w:val="007E25E3"/>
    <w:rsid w:val="007F0FC8"/>
    <w:rsid w:val="007F5455"/>
    <w:rsid w:val="007F5B6D"/>
    <w:rsid w:val="007F5F17"/>
    <w:rsid w:val="007F6786"/>
    <w:rsid w:val="00800600"/>
    <w:rsid w:val="00804AC9"/>
    <w:rsid w:val="00805CC5"/>
    <w:rsid w:val="00806E6A"/>
    <w:rsid w:val="00807F5E"/>
    <w:rsid w:val="00811444"/>
    <w:rsid w:val="008121B7"/>
    <w:rsid w:val="00812943"/>
    <w:rsid w:val="00813CD0"/>
    <w:rsid w:val="00815A38"/>
    <w:rsid w:val="00815E51"/>
    <w:rsid w:val="008178A1"/>
    <w:rsid w:val="008202AF"/>
    <w:rsid w:val="00820840"/>
    <w:rsid w:val="0082093C"/>
    <w:rsid w:val="00822E6E"/>
    <w:rsid w:val="00825D8B"/>
    <w:rsid w:val="00827268"/>
    <w:rsid w:val="00830067"/>
    <w:rsid w:val="0083095B"/>
    <w:rsid w:val="00832553"/>
    <w:rsid w:val="00832D1C"/>
    <w:rsid w:val="00840161"/>
    <w:rsid w:val="00843CC3"/>
    <w:rsid w:val="00846D13"/>
    <w:rsid w:val="00846D55"/>
    <w:rsid w:val="0084757F"/>
    <w:rsid w:val="00851CE7"/>
    <w:rsid w:val="008523CF"/>
    <w:rsid w:val="008535C2"/>
    <w:rsid w:val="0085508C"/>
    <w:rsid w:val="00855488"/>
    <w:rsid w:val="00855D41"/>
    <w:rsid w:val="00861298"/>
    <w:rsid w:val="0086284E"/>
    <w:rsid w:val="008633E4"/>
    <w:rsid w:val="008649B5"/>
    <w:rsid w:val="00871F74"/>
    <w:rsid w:val="00876956"/>
    <w:rsid w:val="008827A9"/>
    <w:rsid w:val="00887229"/>
    <w:rsid w:val="008904F0"/>
    <w:rsid w:val="008906A1"/>
    <w:rsid w:val="008A1CED"/>
    <w:rsid w:val="008A1EF7"/>
    <w:rsid w:val="008A28B3"/>
    <w:rsid w:val="008A29FB"/>
    <w:rsid w:val="008A32DE"/>
    <w:rsid w:val="008A752C"/>
    <w:rsid w:val="008B083C"/>
    <w:rsid w:val="008B11C0"/>
    <w:rsid w:val="008B1D06"/>
    <w:rsid w:val="008B282C"/>
    <w:rsid w:val="008B5363"/>
    <w:rsid w:val="008C094F"/>
    <w:rsid w:val="008C29B1"/>
    <w:rsid w:val="008C6FE5"/>
    <w:rsid w:val="008D20E5"/>
    <w:rsid w:val="008D2422"/>
    <w:rsid w:val="008D26BB"/>
    <w:rsid w:val="008D5106"/>
    <w:rsid w:val="008D5AD0"/>
    <w:rsid w:val="008D5D91"/>
    <w:rsid w:val="008D7476"/>
    <w:rsid w:val="008D7893"/>
    <w:rsid w:val="008D7CB2"/>
    <w:rsid w:val="008E5B12"/>
    <w:rsid w:val="008F2C3A"/>
    <w:rsid w:val="008F3008"/>
    <w:rsid w:val="008F3B13"/>
    <w:rsid w:val="008F4DFE"/>
    <w:rsid w:val="008F5953"/>
    <w:rsid w:val="008F70FF"/>
    <w:rsid w:val="008F7F2F"/>
    <w:rsid w:val="009006C2"/>
    <w:rsid w:val="00902509"/>
    <w:rsid w:val="00902784"/>
    <w:rsid w:val="00902CA6"/>
    <w:rsid w:val="00912AF1"/>
    <w:rsid w:val="009142D3"/>
    <w:rsid w:val="009158D8"/>
    <w:rsid w:val="00917E93"/>
    <w:rsid w:val="00920467"/>
    <w:rsid w:val="0092209F"/>
    <w:rsid w:val="00924383"/>
    <w:rsid w:val="00925B0E"/>
    <w:rsid w:val="009269D7"/>
    <w:rsid w:val="00927894"/>
    <w:rsid w:val="00930637"/>
    <w:rsid w:val="00932F00"/>
    <w:rsid w:val="009338B2"/>
    <w:rsid w:val="00941923"/>
    <w:rsid w:val="00941F81"/>
    <w:rsid w:val="009424BA"/>
    <w:rsid w:val="00942E26"/>
    <w:rsid w:val="00945583"/>
    <w:rsid w:val="00951F5C"/>
    <w:rsid w:val="00952B1B"/>
    <w:rsid w:val="00952DB9"/>
    <w:rsid w:val="00955D63"/>
    <w:rsid w:val="0095606C"/>
    <w:rsid w:val="00956BBB"/>
    <w:rsid w:val="00957D65"/>
    <w:rsid w:val="0096494C"/>
    <w:rsid w:val="009650D9"/>
    <w:rsid w:val="0096532F"/>
    <w:rsid w:val="009676F8"/>
    <w:rsid w:val="0096773F"/>
    <w:rsid w:val="00967E72"/>
    <w:rsid w:val="009719F8"/>
    <w:rsid w:val="00972EAD"/>
    <w:rsid w:val="00973EF1"/>
    <w:rsid w:val="00975AFF"/>
    <w:rsid w:val="0098408F"/>
    <w:rsid w:val="00985775"/>
    <w:rsid w:val="00993F02"/>
    <w:rsid w:val="00995866"/>
    <w:rsid w:val="0099677F"/>
    <w:rsid w:val="00997781"/>
    <w:rsid w:val="00997B4B"/>
    <w:rsid w:val="00997D1C"/>
    <w:rsid w:val="009A07EA"/>
    <w:rsid w:val="009A227E"/>
    <w:rsid w:val="009A33FA"/>
    <w:rsid w:val="009A441D"/>
    <w:rsid w:val="009A4505"/>
    <w:rsid w:val="009B0C1C"/>
    <w:rsid w:val="009B1356"/>
    <w:rsid w:val="009B17A8"/>
    <w:rsid w:val="009B5E57"/>
    <w:rsid w:val="009B6B8B"/>
    <w:rsid w:val="009B71E1"/>
    <w:rsid w:val="009C1E21"/>
    <w:rsid w:val="009C62F2"/>
    <w:rsid w:val="009C67AA"/>
    <w:rsid w:val="009D2029"/>
    <w:rsid w:val="009D24E0"/>
    <w:rsid w:val="009D276B"/>
    <w:rsid w:val="009D29A5"/>
    <w:rsid w:val="009D2B10"/>
    <w:rsid w:val="009D4D52"/>
    <w:rsid w:val="009E0E33"/>
    <w:rsid w:val="009E24AA"/>
    <w:rsid w:val="009E26C8"/>
    <w:rsid w:val="009E2ABA"/>
    <w:rsid w:val="009E6315"/>
    <w:rsid w:val="009E7008"/>
    <w:rsid w:val="009F25A2"/>
    <w:rsid w:val="009F2796"/>
    <w:rsid w:val="009F369C"/>
    <w:rsid w:val="009F51DB"/>
    <w:rsid w:val="009F6D79"/>
    <w:rsid w:val="009F71A4"/>
    <w:rsid w:val="009F7B76"/>
    <w:rsid w:val="00A019C1"/>
    <w:rsid w:val="00A020DF"/>
    <w:rsid w:val="00A0245C"/>
    <w:rsid w:val="00A03923"/>
    <w:rsid w:val="00A03F21"/>
    <w:rsid w:val="00A0425E"/>
    <w:rsid w:val="00A100B4"/>
    <w:rsid w:val="00A144C1"/>
    <w:rsid w:val="00A14CD2"/>
    <w:rsid w:val="00A1768F"/>
    <w:rsid w:val="00A22D72"/>
    <w:rsid w:val="00A2457A"/>
    <w:rsid w:val="00A26B62"/>
    <w:rsid w:val="00A274F9"/>
    <w:rsid w:val="00A36091"/>
    <w:rsid w:val="00A3673F"/>
    <w:rsid w:val="00A3705A"/>
    <w:rsid w:val="00A52200"/>
    <w:rsid w:val="00A52EC1"/>
    <w:rsid w:val="00A53FC3"/>
    <w:rsid w:val="00A540DF"/>
    <w:rsid w:val="00A56149"/>
    <w:rsid w:val="00A616C9"/>
    <w:rsid w:val="00A632C2"/>
    <w:rsid w:val="00A64767"/>
    <w:rsid w:val="00A65651"/>
    <w:rsid w:val="00A67553"/>
    <w:rsid w:val="00A67AF5"/>
    <w:rsid w:val="00A70C50"/>
    <w:rsid w:val="00A70DD7"/>
    <w:rsid w:val="00A713B1"/>
    <w:rsid w:val="00A73A2D"/>
    <w:rsid w:val="00A74900"/>
    <w:rsid w:val="00A771D6"/>
    <w:rsid w:val="00A80774"/>
    <w:rsid w:val="00A83578"/>
    <w:rsid w:val="00A84C92"/>
    <w:rsid w:val="00A85224"/>
    <w:rsid w:val="00A8608F"/>
    <w:rsid w:val="00A870A0"/>
    <w:rsid w:val="00A913BA"/>
    <w:rsid w:val="00A95F7A"/>
    <w:rsid w:val="00AA1316"/>
    <w:rsid w:val="00AA2291"/>
    <w:rsid w:val="00AA2D33"/>
    <w:rsid w:val="00AA4AA7"/>
    <w:rsid w:val="00AA4B3D"/>
    <w:rsid w:val="00AA56A3"/>
    <w:rsid w:val="00AA5900"/>
    <w:rsid w:val="00AA6481"/>
    <w:rsid w:val="00AA6F8F"/>
    <w:rsid w:val="00AB035C"/>
    <w:rsid w:val="00AB097E"/>
    <w:rsid w:val="00AB17E7"/>
    <w:rsid w:val="00AB2994"/>
    <w:rsid w:val="00AB38B6"/>
    <w:rsid w:val="00AB3CB3"/>
    <w:rsid w:val="00AB7080"/>
    <w:rsid w:val="00AC0FDE"/>
    <w:rsid w:val="00AC5B6D"/>
    <w:rsid w:val="00AC5D6B"/>
    <w:rsid w:val="00AC76C8"/>
    <w:rsid w:val="00AD240E"/>
    <w:rsid w:val="00AD5F6F"/>
    <w:rsid w:val="00AD6AFB"/>
    <w:rsid w:val="00AD7A71"/>
    <w:rsid w:val="00AE0BB0"/>
    <w:rsid w:val="00AE0FE4"/>
    <w:rsid w:val="00AE117B"/>
    <w:rsid w:val="00AE1841"/>
    <w:rsid w:val="00AF33E3"/>
    <w:rsid w:val="00AF4DF8"/>
    <w:rsid w:val="00AF6E21"/>
    <w:rsid w:val="00AF7D44"/>
    <w:rsid w:val="00B00614"/>
    <w:rsid w:val="00B01AE2"/>
    <w:rsid w:val="00B01E0E"/>
    <w:rsid w:val="00B02D76"/>
    <w:rsid w:val="00B03B5F"/>
    <w:rsid w:val="00B071BE"/>
    <w:rsid w:val="00B11952"/>
    <w:rsid w:val="00B13261"/>
    <w:rsid w:val="00B1462D"/>
    <w:rsid w:val="00B16F63"/>
    <w:rsid w:val="00B17A00"/>
    <w:rsid w:val="00B2321A"/>
    <w:rsid w:val="00B23F3E"/>
    <w:rsid w:val="00B24EDF"/>
    <w:rsid w:val="00B25707"/>
    <w:rsid w:val="00B258C2"/>
    <w:rsid w:val="00B25CDE"/>
    <w:rsid w:val="00B27F64"/>
    <w:rsid w:val="00B32210"/>
    <w:rsid w:val="00B33569"/>
    <w:rsid w:val="00B37CAE"/>
    <w:rsid w:val="00B41B07"/>
    <w:rsid w:val="00B4207B"/>
    <w:rsid w:val="00B431B3"/>
    <w:rsid w:val="00B43555"/>
    <w:rsid w:val="00B46251"/>
    <w:rsid w:val="00B47215"/>
    <w:rsid w:val="00B47A7D"/>
    <w:rsid w:val="00B5008B"/>
    <w:rsid w:val="00B501E1"/>
    <w:rsid w:val="00B52141"/>
    <w:rsid w:val="00B55AF9"/>
    <w:rsid w:val="00B5753C"/>
    <w:rsid w:val="00B57934"/>
    <w:rsid w:val="00B60D51"/>
    <w:rsid w:val="00B64145"/>
    <w:rsid w:val="00B641B2"/>
    <w:rsid w:val="00B66E0F"/>
    <w:rsid w:val="00B67FB1"/>
    <w:rsid w:val="00B70305"/>
    <w:rsid w:val="00B71D9F"/>
    <w:rsid w:val="00B73023"/>
    <w:rsid w:val="00B73F0E"/>
    <w:rsid w:val="00B74909"/>
    <w:rsid w:val="00B74A20"/>
    <w:rsid w:val="00B806FB"/>
    <w:rsid w:val="00B80FAC"/>
    <w:rsid w:val="00B84192"/>
    <w:rsid w:val="00B8512A"/>
    <w:rsid w:val="00B85975"/>
    <w:rsid w:val="00B85AFF"/>
    <w:rsid w:val="00B8640E"/>
    <w:rsid w:val="00B870D4"/>
    <w:rsid w:val="00B90C17"/>
    <w:rsid w:val="00B9100D"/>
    <w:rsid w:val="00B972EF"/>
    <w:rsid w:val="00BA20CE"/>
    <w:rsid w:val="00BA5D2B"/>
    <w:rsid w:val="00BB0021"/>
    <w:rsid w:val="00BB093F"/>
    <w:rsid w:val="00BB0EF0"/>
    <w:rsid w:val="00BB1E9F"/>
    <w:rsid w:val="00BB3D35"/>
    <w:rsid w:val="00BB557C"/>
    <w:rsid w:val="00BC1661"/>
    <w:rsid w:val="00BC33F6"/>
    <w:rsid w:val="00BC3D09"/>
    <w:rsid w:val="00BC53B8"/>
    <w:rsid w:val="00BC66F5"/>
    <w:rsid w:val="00BD31D8"/>
    <w:rsid w:val="00BD4FD8"/>
    <w:rsid w:val="00BD560A"/>
    <w:rsid w:val="00BD5DDC"/>
    <w:rsid w:val="00BD6EC8"/>
    <w:rsid w:val="00BE0043"/>
    <w:rsid w:val="00BE0E86"/>
    <w:rsid w:val="00BE2335"/>
    <w:rsid w:val="00BE3278"/>
    <w:rsid w:val="00BE3A01"/>
    <w:rsid w:val="00BE3F5B"/>
    <w:rsid w:val="00BE50C0"/>
    <w:rsid w:val="00BE5202"/>
    <w:rsid w:val="00BE5440"/>
    <w:rsid w:val="00BF0F12"/>
    <w:rsid w:val="00BF1B14"/>
    <w:rsid w:val="00BF1E54"/>
    <w:rsid w:val="00BF675C"/>
    <w:rsid w:val="00BF71DE"/>
    <w:rsid w:val="00C015E8"/>
    <w:rsid w:val="00C024B6"/>
    <w:rsid w:val="00C1051D"/>
    <w:rsid w:val="00C12D74"/>
    <w:rsid w:val="00C15EA5"/>
    <w:rsid w:val="00C17E4E"/>
    <w:rsid w:val="00C205E7"/>
    <w:rsid w:val="00C20885"/>
    <w:rsid w:val="00C224A5"/>
    <w:rsid w:val="00C2383D"/>
    <w:rsid w:val="00C256FE"/>
    <w:rsid w:val="00C27691"/>
    <w:rsid w:val="00C3107B"/>
    <w:rsid w:val="00C334FD"/>
    <w:rsid w:val="00C36934"/>
    <w:rsid w:val="00C37234"/>
    <w:rsid w:val="00C42D4C"/>
    <w:rsid w:val="00C44649"/>
    <w:rsid w:val="00C44BF0"/>
    <w:rsid w:val="00C5151C"/>
    <w:rsid w:val="00C53567"/>
    <w:rsid w:val="00C5485A"/>
    <w:rsid w:val="00C55A30"/>
    <w:rsid w:val="00C607A1"/>
    <w:rsid w:val="00C623B3"/>
    <w:rsid w:val="00C63123"/>
    <w:rsid w:val="00C64F18"/>
    <w:rsid w:val="00C6786D"/>
    <w:rsid w:val="00C7486A"/>
    <w:rsid w:val="00C748F6"/>
    <w:rsid w:val="00C75A78"/>
    <w:rsid w:val="00C75ACA"/>
    <w:rsid w:val="00C76D7C"/>
    <w:rsid w:val="00C778F0"/>
    <w:rsid w:val="00C800B9"/>
    <w:rsid w:val="00C80430"/>
    <w:rsid w:val="00C81B50"/>
    <w:rsid w:val="00C84940"/>
    <w:rsid w:val="00C853E0"/>
    <w:rsid w:val="00C85C72"/>
    <w:rsid w:val="00C90780"/>
    <w:rsid w:val="00C90825"/>
    <w:rsid w:val="00C9097E"/>
    <w:rsid w:val="00C924A2"/>
    <w:rsid w:val="00C92FC3"/>
    <w:rsid w:val="00C936BD"/>
    <w:rsid w:val="00C945EB"/>
    <w:rsid w:val="00C94AF0"/>
    <w:rsid w:val="00C94E9B"/>
    <w:rsid w:val="00C95253"/>
    <w:rsid w:val="00C958E5"/>
    <w:rsid w:val="00CA27E2"/>
    <w:rsid w:val="00CA3D5D"/>
    <w:rsid w:val="00CA465C"/>
    <w:rsid w:val="00CA5FE2"/>
    <w:rsid w:val="00CA70E9"/>
    <w:rsid w:val="00CA72C5"/>
    <w:rsid w:val="00CA7839"/>
    <w:rsid w:val="00CB71A0"/>
    <w:rsid w:val="00CB798E"/>
    <w:rsid w:val="00CC297E"/>
    <w:rsid w:val="00CC3E02"/>
    <w:rsid w:val="00CC3FC0"/>
    <w:rsid w:val="00CC6706"/>
    <w:rsid w:val="00CD00E8"/>
    <w:rsid w:val="00CD10DA"/>
    <w:rsid w:val="00CD5F8C"/>
    <w:rsid w:val="00CD608E"/>
    <w:rsid w:val="00CE0329"/>
    <w:rsid w:val="00CE0F79"/>
    <w:rsid w:val="00CE3547"/>
    <w:rsid w:val="00CE6308"/>
    <w:rsid w:val="00CE6AD1"/>
    <w:rsid w:val="00CE77E6"/>
    <w:rsid w:val="00CF2028"/>
    <w:rsid w:val="00CF26EF"/>
    <w:rsid w:val="00CF4F17"/>
    <w:rsid w:val="00CF6CFD"/>
    <w:rsid w:val="00CF7A63"/>
    <w:rsid w:val="00D02ED1"/>
    <w:rsid w:val="00D03B0E"/>
    <w:rsid w:val="00D04A46"/>
    <w:rsid w:val="00D14269"/>
    <w:rsid w:val="00D143B6"/>
    <w:rsid w:val="00D158B7"/>
    <w:rsid w:val="00D165E2"/>
    <w:rsid w:val="00D222FE"/>
    <w:rsid w:val="00D22D20"/>
    <w:rsid w:val="00D23265"/>
    <w:rsid w:val="00D25531"/>
    <w:rsid w:val="00D25A39"/>
    <w:rsid w:val="00D25B13"/>
    <w:rsid w:val="00D25B46"/>
    <w:rsid w:val="00D277EB"/>
    <w:rsid w:val="00D31223"/>
    <w:rsid w:val="00D31A59"/>
    <w:rsid w:val="00D32763"/>
    <w:rsid w:val="00D3307D"/>
    <w:rsid w:val="00D33E4B"/>
    <w:rsid w:val="00D342A0"/>
    <w:rsid w:val="00D351D8"/>
    <w:rsid w:val="00D35640"/>
    <w:rsid w:val="00D3584D"/>
    <w:rsid w:val="00D36CE8"/>
    <w:rsid w:val="00D41D93"/>
    <w:rsid w:val="00D43677"/>
    <w:rsid w:val="00D43767"/>
    <w:rsid w:val="00D44621"/>
    <w:rsid w:val="00D46281"/>
    <w:rsid w:val="00D46A05"/>
    <w:rsid w:val="00D50447"/>
    <w:rsid w:val="00D557FB"/>
    <w:rsid w:val="00D55D58"/>
    <w:rsid w:val="00D560DF"/>
    <w:rsid w:val="00D562DE"/>
    <w:rsid w:val="00D56795"/>
    <w:rsid w:val="00D568A0"/>
    <w:rsid w:val="00D61D38"/>
    <w:rsid w:val="00D64021"/>
    <w:rsid w:val="00D64CB4"/>
    <w:rsid w:val="00D67361"/>
    <w:rsid w:val="00D71568"/>
    <w:rsid w:val="00D7381E"/>
    <w:rsid w:val="00D7486D"/>
    <w:rsid w:val="00D77A28"/>
    <w:rsid w:val="00D77C77"/>
    <w:rsid w:val="00D804CE"/>
    <w:rsid w:val="00D821F2"/>
    <w:rsid w:val="00D82567"/>
    <w:rsid w:val="00D8297D"/>
    <w:rsid w:val="00D84DA9"/>
    <w:rsid w:val="00D85775"/>
    <w:rsid w:val="00D86F73"/>
    <w:rsid w:val="00D87062"/>
    <w:rsid w:val="00D875F8"/>
    <w:rsid w:val="00D9137F"/>
    <w:rsid w:val="00D91511"/>
    <w:rsid w:val="00D93E1D"/>
    <w:rsid w:val="00D941FA"/>
    <w:rsid w:val="00DA1154"/>
    <w:rsid w:val="00DA28A1"/>
    <w:rsid w:val="00DA41A1"/>
    <w:rsid w:val="00DB0398"/>
    <w:rsid w:val="00DB088B"/>
    <w:rsid w:val="00DB0BBB"/>
    <w:rsid w:val="00DB289D"/>
    <w:rsid w:val="00DB310E"/>
    <w:rsid w:val="00DB44F8"/>
    <w:rsid w:val="00DB6EFE"/>
    <w:rsid w:val="00DC36F6"/>
    <w:rsid w:val="00DC6189"/>
    <w:rsid w:val="00DC7B00"/>
    <w:rsid w:val="00DD1165"/>
    <w:rsid w:val="00DD2221"/>
    <w:rsid w:val="00DD531D"/>
    <w:rsid w:val="00DE182E"/>
    <w:rsid w:val="00DE2335"/>
    <w:rsid w:val="00DE24AF"/>
    <w:rsid w:val="00DE513A"/>
    <w:rsid w:val="00DE57FE"/>
    <w:rsid w:val="00DE6CE7"/>
    <w:rsid w:val="00DE7C7A"/>
    <w:rsid w:val="00DF3FD4"/>
    <w:rsid w:val="00DF5396"/>
    <w:rsid w:val="00DF60B2"/>
    <w:rsid w:val="00E00457"/>
    <w:rsid w:val="00E013FF"/>
    <w:rsid w:val="00E0228D"/>
    <w:rsid w:val="00E04203"/>
    <w:rsid w:val="00E04F80"/>
    <w:rsid w:val="00E11239"/>
    <w:rsid w:val="00E12489"/>
    <w:rsid w:val="00E12A74"/>
    <w:rsid w:val="00E142BB"/>
    <w:rsid w:val="00E16501"/>
    <w:rsid w:val="00E16953"/>
    <w:rsid w:val="00E20223"/>
    <w:rsid w:val="00E206B5"/>
    <w:rsid w:val="00E2074D"/>
    <w:rsid w:val="00E20FA5"/>
    <w:rsid w:val="00E214A0"/>
    <w:rsid w:val="00E222F8"/>
    <w:rsid w:val="00E24790"/>
    <w:rsid w:val="00E25E30"/>
    <w:rsid w:val="00E27A56"/>
    <w:rsid w:val="00E30CA1"/>
    <w:rsid w:val="00E313E0"/>
    <w:rsid w:val="00E3209C"/>
    <w:rsid w:val="00E32FCC"/>
    <w:rsid w:val="00E33950"/>
    <w:rsid w:val="00E35C73"/>
    <w:rsid w:val="00E36F2E"/>
    <w:rsid w:val="00E3758C"/>
    <w:rsid w:val="00E4115B"/>
    <w:rsid w:val="00E42DA9"/>
    <w:rsid w:val="00E4334A"/>
    <w:rsid w:val="00E445B6"/>
    <w:rsid w:val="00E5064B"/>
    <w:rsid w:val="00E53E37"/>
    <w:rsid w:val="00E55C62"/>
    <w:rsid w:val="00E55D9C"/>
    <w:rsid w:val="00E57B79"/>
    <w:rsid w:val="00E60487"/>
    <w:rsid w:val="00E60DD9"/>
    <w:rsid w:val="00E62E70"/>
    <w:rsid w:val="00E63EF3"/>
    <w:rsid w:val="00E63FA4"/>
    <w:rsid w:val="00E64806"/>
    <w:rsid w:val="00E64CEF"/>
    <w:rsid w:val="00E665FF"/>
    <w:rsid w:val="00E70CA0"/>
    <w:rsid w:val="00E72C5C"/>
    <w:rsid w:val="00E72F61"/>
    <w:rsid w:val="00E74BA2"/>
    <w:rsid w:val="00E80668"/>
    <w:rsid w:val="00E81790"/>
    <w:rsid w:val="00E821CA"/>
    <w:rsid w:val="00E85ED7"/>
    <w:rsid w:val="00E86636"/>
    <w:rsid w:val="00E9379A"/>
    <w:rsid w:val="00E9439D"/>
    <w:rsid w:val="00E95DB7"/>
    <w:rsid w:val="00EA272C"/>
    <w:rsid w:val="00EA46C1"/>
    <w:rsid w:val="00EA4714"/>
    <w:rsid w:val="00EA4E65"/>
    <w:rsid w:val="00EA6BA7"/>
    <w:rsid w:val="00EB1E33"/>
    <w:rsid w:val="00EB2831"/>
    <w:rsid w:val="00EB3079"/>
    <w:rsid w:val="00EC0644"/>
    <w:rsid w:val="00EC18C5"/>
    <w:rsid w:val="00EC2371"/>
    <w:rsid w:val="00EC4F62"/>
    <w:rsid w:val="00EC78AC"/>
    <w:rsid w:val="00ED0C3E"/>
    <w:rsid w:val="00ED1750"/>
    <w:rsid w:val="00ED3940"/>
    <w:rsid w:val="00ED5CDA"/>
    <w:rsid w:val="00ED70FC"/>
    <w:rsid w:val="00ED7446"/>
    <w:rsid w:val="00ED79FE"/>
    <w:rsid w:val="00EE05EA"/>
    <w:rsid w:val="00EE0801"/>
    <w:rsid w:val="00EE2AAE"/>
    <w:rsid w:val="00EE2FF3"/>
    <w:rsid w:val="00EE435F"/>
    <w:rsid w:val="00EE4B85"/>
    <w:rsid w:val="00EF2788"/>
    <w:rsid w:val="00EF332E"/>
    <w:rsid w:val="00EF6218"/>
    <w:rsid w:val="00EF76DE"/>
    <w:rsid w:val="00F00896"/>
    <w:rsid w:val="00F03AE5"/>
    <w:rsid w:val="00F054FF"/>
    <w:rsid w:val="00F06919"/>
    <w:rsid w:val="00F11569"/>
    <w:rsid w:val="00F115EF"/>
    <w:rsid w:val="00F116F9"/>
    <w:rsid w:val="00F124F3"/>
    <w:rsid w:val="00F12F36"/>
    <w:rsid w:val="00F130C5"/>
    <w:rsid w:val="00F154DA"/>
    <w:rsid w:val="00F15870"/>
    <w:rsid w:val="00F17DAB"/>
    <w:rsid w:val="00F204F6"/>
    <w:rsid w:val="00F22052"/>
    <w:rsid w:val="00F22806"/>
    <w:rsid w:val="00F24693"/>
    <w:rsid w:val="00F25798"/>
    <w:rsid w:val="00F26F7C"/>
    <w:rsid w:val="00F32CC2"/>
    <w:rsid w:val="00F33088"/>
    <w:rsid w:val="00F3309C"/>
    <w:rsid w:val="00F3344D"/>
    <w:rsid w:val="00F34221"/>
    <w:rsid w:val="00F359B4"/>
    <w:rsid w:val="00F426FA"/>
    <w:rsid w:val="00F42CB6"/>
    <w:rsid w:val="00F4481A"/>
    <w:rsid w:val="00F47E29"/>
    <w:rsid w:val="00F47F17"/>
    <w:rsid w:val="00F505A7"/>
    <w:rsid w:val="00F51360"/>
    <w:rsid w:val="00F52F36"/>
    <w:rsid w:val="00F53E77"/>
    <w:rsid w:val="00F54C72"/>
    <w:rsid w:val="00F57353"/>
    <w:rsid w:val="00F60428"/>
    <w:rsid w:val="00F61D7B"/>
    <w:rsid w:val="00F7025A"/>
    <w:rsid w:val="00F70891"/>
    <w:rsid w:val="00F7092C"/>
    <w:rsid w:val="00F7294B"/>
    <w:rsid w:val="00F742F8"/>
    <w:rsid w:val="00F77135"/>
    <w:rsid w:val="00F77C74"/>
    <w:rsid w:val="00F8104D"/>
    <w:rsid w:val="00F81A05"/>
    <w:rsid w:val="00F8630B"/>
    <w:rsid w:val="00F902BD"/>
    <w:rsid w:val="00F93E53"/>
    <w:rsid w:val="00F954FB"/>
    <w:rsid w:val="00F95BC9"/>
    <w:rsid w:val="00F97D0A"/>
    <w:rsid w:val="00FA05B8"/>
    <w:rsid w:val="00FA32F9"/>
    <w:rsid w:val="00FA3317"/>
    <w:rsid w:val="00FA3611"/>
    <w:rsid w:val="00FA39F4"/>
    <w:rsid w:val="00FA3B36"/>
    <w:rsid w:val="00FA6121"/>
    <w:rsid w:val="00FB16D4"/>
    <w:rsid w:val="00FB1B6C"/>
    <w:rsid w:val="00FB25F1"/>
    <w:rsid w:val="00FB4E8C"/>
    <w:rsid w:val="00FB5610"/>
    <w:rsid w:val="00FB6BEB"/>
    <w:rsid w:val="00FC0BB8"/>
    <w:rsid w:val="00FC27D4"/>
    <w:rsid w:val="00FC2C70"/>
    <w:rsid w:val="00FC32D7"/>
    <w:rsid w:val="00FC45E4"/>
    <w:rsid w:val="00FC509E"/>
    <w:rsid w:val="00FC73DE"/>
    <w:rsid w:val="00FC77A1"/>
    <w:rsid w:val="00FD19FF"/>
    <w:rsid w:val="00FD2410"/>
    <w:rsid w:val="00FD28E0"/>
    <w:rsid w:val="00FD4575"/>
    <w:rsid w:val="00FD6D28"/>
    <w:rsid w:val="00FD76B7"/>
    <w:rsid w:val="00FE0A7D"/>
    <w:rsid w:val="00FE0E8C"/>
    <w:rsid w:val="00FE3639"/>
    <w:rsid w:val="00FE5115"/>
    <w:rsid w:val="00FE7AB8"/>
    <w:rsid w:val="00FF1CC3"/>
    <w:rsid w:val="00FF3253"/>
    <w:rsid w:val="00FF393F"/>
    <w:rsid w:val="00FF75C1"/>
    <w:rsid w:val="08CF96C4"/>
    <w:rsid w:val="218C5F2D"/>
    <w:rsid w:val="24890D63"/>
    <w:rsid w:val="285CA657"/>
    <w:rsid w:val="2F7DC8CE"/>
    <w:rsid w:val="32E00CCE"/>
    <w:rsid w:val="4717A8C1"/>
    <w:rsid w:val="47DABFA9"/>
    <w:rsid w:val="48311B24"/>
    <w:rsid w:val="49AE71E9"/>
    <w:rsid w:val="4F165A1B"/>
    <w:rsid w:val="605EB306"/>
    <w:rsid w:val="681D6421"/>
    <w:rsid w:val="6BE66CE6"/>
    <w:rsid w:val="7E97CA79"/>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92FD"/>
  <w15:docId w15:val="{72BCDBEF-5009-4755-8BCE-DB7C09E8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517"/>
    <w:pPr>
      <w:tabs>
        <w:tab w:val="center" w:pos="4677"/>
        <w:tab w:val="right" w:pos="9355"/>
      </w:tabs>
    </w:pPr>
    <w:rPr>
      <w:rFonts w:ascii="Calibri" w:eastAsia="Calibri" w:hAnsi="Calibri" w:cs="Times New Roman"/>
      <w:lang w:val="ru-RU" w:eastAsia="ru-RU" w:bidi="ru-RU"/>
    </w:rPr>
  </w:style>
  <w:style w:type="character" w:customStyle="1" w:styleId="HeaderChar">
    <w:name w:val="Header Char"/>
    <w:basedOn w:val="DefaultParagraphFont"/>
    <w:link w:val="Header"/>
    <w:uiPriority w:val="99"/>
    <w:rsid w:val="000F5517"/>
    <w:rPr>
      <w:rFonts w:ascii="Calibri" w:eastAsia="Calibri" w:hAnsi="Calibri" w:cs="Times New Roman"/>
      <w:lang w:val="ru-RU" w:eastAsia="ru-RU" w:bidi="ru-RU"/>
    </w:rPr>
  </w:style>
  <w:style w:type="paragraph" w:styleId="Footer">
    <w:name w:val="footer"/>
    <w:basedOn w:val="Normal"/>
    <w:link w:val="FooterChar"/>
    <w:uiPriority w:val="99"/>
    <w:unhideWhenUsed/>
    <w:rsid w:val="000F5517"/>
    <w:pPr>
      <w:tabs>
        <w:tab w:val="center" w:pos="4677"/>
        <w:tab w:val="right" w:pos="9355"/>
      </w:tabs>
    </w:pPr>
    <w:rPr>
      <w:rFonts w:ascii="Calibri" w:eastAsia="Calibri" w:hAnsi="Calibri" w:cs="Times New Roman"/>
      <w:lang w:val="ru-RU" w:eastAsia="ru-RU"/>
    </w:rPr>
  </w:style>
  <w:style w:type="character" w:customStyle="1" w:styleId="FooterChar">
    <w:name w:val="Footer Char"/>
    <w:basedOn w:val="DefaultParagraphFont"/>
    <w:link w:val="Footer"/>
    <w:uiPriority w:val="99"/>
    <w:rsid w:val="000F5517"/>
    <w:rPr>
      <w:rFonts w:ascii="Calibri" w:eastAsia="Calibri" w:hAnsi="Calibri" w:cs="Times New Roman"/>
      <w:lang w:val="ru-RU" w:eastAsia="ru-RU" w:bidi="ru-RU"/>
    </w:rPr>
  </w:style>
  <w:style w:type="paragraph" w:styleId="BalloonText">
    <w:name w:val="Balloon Text"/>
    <w:basedOn w:val="Normal"/>
    <w:link w:val="BalloonTextChar"/>
    <w:uiPriority w:val="99"/>
    <w:semiHidden/>
    <w:unhideWhenUsed/>
    <w:rsid w:val="000F5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17"/>
    <w:rPr>
      <w:rFonts w:ascii="Tahoma" w:hAnsi="Tahoma" w:cs="Tahoma"/>
      <w:sz w:val="16"/>
      <w:szCs w:val="16"/>
    </w:rPr>
  </w:style>
  <w:style w:type="character" w:styleId="CommentReference">
    <w:name w:val="annotation reference"/>
    <w:basedOn w:val="DefaultParagraphFont"/>
    <w:unhideWhenUsed/>
    <w:rsid w:val="00D44621"/>
    <w:rPr>
      <w:sz w:val="16"/>
      <w:szCs w:val="16"/>
    </w:rPr>
  </w:style>
  <w:style w:type="paragraph" w:styleId="CommentText">
    <w:name w:val="annotation text"/>
    <w:basedOn w:val="Normal"/>
    <w:link w:val="CommentTextChar"/>
    <w:uiPriority w:val="99"/>
    <w:semiHidden/>
    <w:unhideWhenUsed/>
    <w:rsid w:val="00D44621"/>
    <w:pPr>
      <w:spacing w:line="240" w:lineRule="auto"/>
    </w:pPr>
    <w:rPr>
      <w:sz w:val="20"/>
      <w:szCs w:val="20"/>
    </w:rPr>
  </w:style>
  <w:style w:type="character" w:customStyle="1" w:styleId="CommentTextChar">
    <w:name w:val="Comment Text Char"/>
    <w:basedOn w:val="DefaultParagraphFont"/>
    <w:link w:val="CommentText"/>
    <w:uiPriority w:val="99"/>
    <w:semiHidden/>
    <w:rsid w:val="00D44621"/>
    <w:rPr>
      <w:sz w:val="20"/>
      <w:szCs w:val="20"/>
    </w:rPr>
  </w:style>
  <w:style w:type="paragraph" w:styleId="CommentSubject">
    <w:name w:val="annotation subject"/>
    <w:basedOn w:val="CommentText"/>
    <w:next w:val="CommentText"/>
    <w:link w:val="CommentSubjectChar"/>
    <w:uiPriority w:val="99"/>
    <w:semiHidden/>
    <w:unhideWhenUsed/>
    <w:rsid w:val="00D44621"/>
    <w:rPr>
      <w:b/>
      <w:bCs/>
    </w:rPr>
  </w:style>
  <w:style w:type="character" w:customStyle="1" w:styleId="CommentSubjectChar">
    <w:name w:val="Comment Subject Char"/>
    <w:basedOn w:val="CommentTextChar"/>
    <w:link w:val="CommentSubject"/>
    <w:uiPriority w:val="99"/>
    <w:semiHidden/>
    <w:rsid w:val="00D44621"/>
    <w:rPr>
      <w:b/>
      <w:bCs/>
      <w:sz w:val="20"/>
      <w:szCs w:val="20"/>
    </w:rPr>
  </w:style>
  <w:style w:type="paragraph" w:styleId="ListParagraph">
    <w:name w:val="List Paragraph"/>
    <w:aliases w:val="CAFC Bullets,HEADING 3,Heading 31"/>
    <w:basedOn w:val="Normal"/>
    <w:link w:val="ListParagraphChar"/>
    <w:uiPriority w:val="34"/>
    <w:qFormat/>
    <w:rsid w:val="009B17A8"/>
    <w:pPr>
      <w:ind w:left="720"/>
      <w:contextualSpacing/>
    </w:pPr>
  </w:style>
  <w:style w:type="paragraph" w:styleId="BodyText">
    <w:name w:val="Body Text"/>
    <w:basedOn w:val="Normal"/>
    <w:link w:val="BodyTextChar"/>
    <w:rsid w:val="00800600"/>
    <w:pPr>
      <w:spacing w:after="120" w:line="240" w:lineRule="auto"/>
      <w:ind w:left="964"/>
      <w:jc w:val="both"/>
    </w:pPr>
    <w:rPr>
      <w:rFonts w:ascii="Arial" w:eastAsia="Times New Roman" w:hAnsi="Arial" w:cs="Times New Roman"/>
      <w:szCs w:val="24"/>
    </w:rPr>
  </w:style>
  <w:style w:type="character" w:customStyle="1" w:styleId="BodyTextChar">
    <w:name w:val="Body Text Char"/>
    <w:basedOn w:val="DefaultParagraphFont"/>
    <w:link w:val="BodyText"/>
    <w:rsid w:val="00800600"/>
    <w:rPr>
      <w:rFonts w:ascii="Arial" w:eastAsia="Times New Roman" w:hAnsi="Arial" w:cs="Times New Roman"/>
      <w:szCs w:val="24"/>
    </w:rPr>
  </w:style>
  <w:style w:type="paragraph" w:styleId="Revision">
    <w:name w:val="Revision"/>
    <w:hidden/>
    <w:uiPriority w:val="99"/>
    <w:semiHidden/>
    <w:rsid w:val="0041678E"/>
    <w:pPr>
      <w:spacing w:after="0" w:line="240" w:lineRule="auto"/>
    </w:pPr>
  </w:style>
  <w:style w:type="paragraph" w:styleId="FootnoteText">
    <w:name w:val="footnote text"/>
    <w:basedOn w:val="Normal"/>
    <w:link w:val="FootnoteTextChar"/>
    <w:uiPriority w:val="99"/>
    <w:unhideWhenUsed/>
    <w:rsid w:val="006479A2"/>
    <w:pPr>
      <w:spacing w:after="0" w:line="240" w:lineRule="auto"/>
    </w:pPr>
    <w:rPr>
      <w:sz w:val="20"/>
      <w:szCs w:val="20"/>
    </w:rPr>
  </w:style>
  <w:style w:type="character" w:customStyle="1" w:styleId="FootnoteTextChar">
    <w:name w:val="Footnote Text Char"/>
    <w:basedOn w:val="DefaultParagraphFont"/>
    <w:link w:val="FootnoteText"/>
    <w:uiPriority w:val="99"/>
    <w:rsid w:val="006479A2"/>
    <w:rPr>
      <w:sz w:val="20"/>
      <w:szCs w:val="20"/>
    </w:rPr>
  </w:style>
  <w:style w:type="character" w:styleId="FootnoteReference">
    <w:name w:val="footnote reference"/>
    <w:basedOn w:val="DefaultParagraphFont"/>
    <w:uiPriority w:val="99"/>
    <w:semiHidden/>
    <w:unhideWhenUsed/>
    <w:rsid w:val="006479A2"/>
    <w:rPr>
      <w:vertAlign w:val="superscript"/>
    </w:rPr>
  </w:style>
  <w:style w:type="character" w:styleId="PlaceholderText">
    <w:name w:val="Placeholder Text"/>
    <w:basedOn w:val="DefaultParagraphFont"/>
    <w:uiPriority w:val="99"/>
    <w:semiHidden/>
    <w:rsid w:val="00F70891"/>
    <w:rPr>
      <w:color w:val="808080"/>
    </w:rPr>
  </w:style>
  <w:style w:type="table" w:styleId="TableGrid">
    <w:name w:val="Table Grid"/>
    <w:basedOn w:val="TableNormal"/>
    <w:uiPriority w:val="39"/>
    <w:rsid w:val="00F70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AFC Bullets Char,HEADING 3 Char,Heading 31 Char"/>
    <w:link w:val="ListParagraph"/>
    <w:uiPriority w:val="34"/>
    <w:locked/>
    <w:rsid w:val="00F3344D"/>
  </w:style>
  <w:style w:type="character" w:styleId="Hyperlink">
    <w:name w:val="Hyperlink"/>
    <w:basedOn w:val="DefaultParagraphFont"/>
    <w:uiPriority w:val="99"/>
    <w:unhideWhenUsed/>
    <w:rsid w:val="00A616C9"/>
    <w:rPr>
      <w:color w:val="0000FF" w:themeColor="hyperlink"/>
      <w:u w:val="single"/>
    </w:rPr>
  </w:style>
  <w:style w:type="paragraph" w:customStyle="1" w:styleId="bodytext1">
    <w:name w:val="bodytext1"/>
    <w:basedOn w:val="Normal"/>
    <w:rsid w:val="000C39AB"/>
    <w:pPr>
      <w:spacing w:after="300" w:line="240" w:lineRule="auto"/>
      <w:ind w:right="405"/>
      <w:jc w:val="both"/>
    </w:pPr>
    <w:rPr>
      <w:rFonts w:ascii="notosans-regular" w:eastAsia="Times New Roman" w:hAnsi="notosans-regular" w:cs="Times New Roman"/>
      <w:color w:val="333333"/>
      <w:sz w:val="24"/>
      <w:szCs w:val="24"/>
      <w:lang w:val="ru-RU" w:eastAsia="en-GB"/>
    </w:rPr>
  </w:style>
  <w:style w:type="paragraph" w:styleId="NormalWeb">
    <w:name w:val="Normal (Web)"/>
    <w:basedOn w:val="Normal"/>
    <w:uiPriority w:val="99"/>
    <w:semiHidden/>
    <w:unhideWhenUsed/>
    <w:rsid w:val="00F1587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9137">
      <w:bodyDiv w:val="1"/>
      <w:marLeft w:val="0"/>
      <w:marRight w:val="0"/>
      <w:marTop w:val="0"/>
      <w:marBottom w:val="0"/>
      <w:divBdr>
        <w:top w:val="none" w:sz="0" w:space="0" w:color="auto"/>
        <w:left w:val="none" w:sz="0" w:space="0" w:color="auto"/>
        <w:bottom w:val="none" w:sz="0" w:space="0" w:color="auto"/>
        <w:right w:val="none" w:sz="0" w:space="0" w:color="auto"/>
      </w:divBdr>
    </w:div>
    <w:div w:id="255526885">
      <w:bodyDiv w:val="1"/>
      <w:marLeft w:val="0"/>
      <w:marRight w:val="0"/>
      <w:marTop w:val="0"/>
      <w:marBottom w:val="0"/>
      <w:divBdr>
        <w:top w:val="none" w:sz="0" w:space="0" w:color="auto"/>
        <w:left w:val="none" w:sz="0" w:space="0" w:color="auto"/>
        <w:bottom w:val="none" w:sz="0" w:space="0" w:color="auto"/>
        <w:right w:val="none" w:sz="0" w:space="0" w:color="auto"/>
      </w:divBdr>
      <w:divsChild>
        <w:div w:id="537670043">
          <w:marLeft w:val="994"/>
          <w:marRight w:val="0"/>
          <w:marTop w:val="0"/>
          <w:marBottom w:val="40"/>
          <w:divBdr>
            <w:top w:val="none" w:sz="0" w:space="0" w:color="auto"/>
            <w:left w:val="none" w:sz="0" w:space="0" w:color="auto"/>
            <w:bottom w:val="none" w:sz="0" w:space="0" w:color="auto"/>
            <w:right w:val="none" w:sz="0" w:space="0" w:color="auto"/>
          </w:divBdr>
        </w:div>
      </w:divsChild>
    </w:div>
    <w:div w:id="267396711">
      <w:bodyDiv w:val="1"/>
      <w:marLeft w:val="0"/>
      <w:marRight w:val="0"/>
      <w:marTop w:val="0"/>
      <w:marBottom w:val="0"/>
      <w:divBdr>
        <w:top w:val="none" w:sz="0" w:space="0" w:color="auto"/>
        <w:left w:val="none" w:sz="0" w:space="0" w:color="auto"/>
        <w:bottom w:val="none" w:sz="0" w:space="0" w:color="auto"/>
        <w:right w:val="none" w:sz="0" w:space="0" w:color="auto"/>
      </w:divBdr>
      <w:divsChild>
        <w:div w:id="206724570">
          <w:marLeft w:val="288"/>
          <w:marRight w:val="0"/>
          <w:marTop w:val="0"/>
          <w:marBottom w:val="0"/>
          <w:divBdr>
            <w:top w:val="none" w:sz="0" w:space="0" w:color="auto"/>
            <w:left w:val="none" w:sz="0" w:space="0" w:color="auto"/>
            <w:bottom w:val="none" w:sz="0" w:space="0" w:color="auto"/>
            <w:right w:val="none" w:sz="0" w:space="0" w:color="auto"/>
          </w:divBdr>
        </w:div>
      </w:divsChild>
    </w:div>
    <w:div w:id="493300232">
      <w:bodyDiv w:val="1"/>
      <w:marLeft w:val="0"/>
      <w:marRight w:val="0"/>
      <w:marTop w:val="0"/>
      <w:marBottom w:val="0"/>
      <w:divBdr>
        <w:top w:val="none" w:sz="0" w:space="0" w:color="auto"/>
        <w:left w:val="none" w:sz="0" w:space="0" w:color="auto"/>
        <w:bottom w:val="none" w:sz="0" w:space="0" w:color="auto"/>
        <w:right w:val="none" w:sz="0" w:space="0" w:color="auto"/>
      </w:divBdr>
      <w:divsChild>
        <w:div w:id="742217434">
          <w:marLeft w:val="994"/>
          <w:marRight w:val="0"/>
          <w:marTop w:val="0"/>
          <w:marBottom w:val="40"/>
          <w:divBdr>
            <w:top w:val="none" w:sz="0" w:space="0" w:color="auto"/>
            <w:left w:val="none" w:sz="0" w:space="0" w:color="auto"/>
            <w:bottom w:val="none" w:sz="0" w:space="0" w:color="auto"/>
            <w:right w:val="none" w:sz="0" w:space="0" w:color="auto"/>
          </w:divBdr>
        </w:div>
      </w:divsChild>
    </w:div>
    <w:div w:id="855970314">
      <w:bodyDiv w:val="1"/>
      <w:marLeft w:val="0"/>
      <w:marRight w:val="0"/>
      <w:marTop w:val="0"/>
      <w:marBottom w:val="0"/>
      <w:divBdr>
        <w:top w:val="none" w:sz="0" w:space="0" w:color="auto"/>
        <w:left w:val="none" w:sz="0" w:space="0" w:color="auto"/>
        <w:bottom w:val="none" w:sz="0" w:space="0" w:color="auto"/>
        <w:right w:val="none" w:sz="0" w:space="0" w:color="auto"/>
      </w:divBdr>
    </w:div>
    <w:div w:id="1155300623">
      <w:bodyDiv w:val="1"/>
      <w:marLeft w:val="0"/>
      <w:marRight w:val="0"/>
      <w:marTop w:val="0"/>
      <w:marBottom w:val="0"/>
      <w:divBdr>
        <w:top w:val="none" w:sz="0" w:space="0" w:color="auto"/>
        <w:left w:val="none" w:sz="0" w:space="0" w:color="auto"/>
        <w:bottom w:val="none" w:sz="0" w:space="0" w:color="auto"/>
        <w:right w:val="none" w:sz="0" w:space="0" w:color="auto"/>
      </w:divBdr>
    </w:div>
    <w:div w:id="1221592788">
      <w:bodyDiv w:val="1"/>
      <w:marLeft w:val="0"/>
      <w:marRight w:val="0"/>
      <w:marTop w:val="0"/>
      <w:marBottom w:val="0"/>
      <w:divBdr>
        <w:top w:val="none" w:sz="0" w:space="0" w:color="auto"/>
        <w:left w:val="none" w:sz="0" w:space="0" w:color="auto"/>
        <w:bottom w:val="none" w:sz="0" w:space="0" w:color="auto"/>
        <w:right w:val="none" w:sz="0" w:space="0" w:color="auto"/>
      </w:divBdr>
    </w:div>
    <w:div w:id="1223633916">
      <w:bodyDiv w:val="1"/>
      <w:marLeft w:val="0"/>
      <w:marRight w:val="0"/>
      <w:marTop w:val="0"/>
      <w:marBottom w:val="0"/>
      <w:divBdr>
        <w:top w:val="none" w:sz="0" w:space="0" w:color="auto"/>
        <w:left w:val="none" w:sz="0" w:space="0" w:color="auto"/>
        <w:bottom w:val="none" w:sz="0" w:space="0" w:color="auto"/>
        <w:right w:val="none" w:sz="0" w:space="0" w:color="auto"/>
      </w:divBdr>
    </w:div>
    <w:div w:id="1419983737">
      <w:bodyDiv w:val="1"/>
      <w:marLeft w:val="0"/>
      <w:marRight w:val="0"/>
      <w:marTop w:val="0"/>
      <w:marBottom w:val="0"/>
      <w:divBdr>
        <w:top w:val="none" w:sz="0" w:space="0" w:color="auto"/>
        <w:left w:val="none" w:sz="0" w:space="0" w:color="auto"/>
        <w:bottom w:val="none" w:sz="0" w:space="0" w:color="auto"/>
        <w:right w:val="none" w:sz="0" w:space="0" w:color="auto"/>
      </w:divBdr>
    </w:div>
    <w:div w:id="1439443612">
      <w:bodyDiv w:val="1"/>
      <w:marLeft w:val="0"/>
      <w:marRight w:val="0"/>
      <w:marTop w:val="0"/>
      <w:marBottom w:val="0"/>
      <w:divBdr>
        <w:top w:val="none" w:sz="0" w:space="0" w:color="auto"/>
        <w:left w:val="none" w:sz="0" w:space="0" w:color="auto"/>
        <w:bottom w:val="none" w:sz="0" w:space="0" w:color="auto"/>
        <w:right w:val="none" w:sz="0" w:space="0" w:color="auto"/>
      </w:divBdr>
    </w:div>
    <w:div w:id="1460681480">
      <w:bodyDiv w:val="1"/>
      <w:marLeft w:val="0"/>
      <w:marRight w:val="0"/>
      <w:marTop w:val="0"/>
      <w:marBottom w:val="0"/>
      <w:divBdr>
        <w:top w:val="none" w:sz="0" w:space="0" w:color="auto"/>
        <w:left w:val="none" w:sz="0" w:space="0" w:color="auto"/>
        <w:bottom w:val="none" w:sz="0" w:space="0" w:color="auto"/>
        <w:right w:val="none" w:sz="0" w:space="0" w:color="auto"/>
      </w:divBdr>
    </w:div>
    <w:div w:id="1540703354">
      <w:bodyDiv w:val="1"/>
      <w:marLeft w:val="0"/>
      <w:marRight w:val="0"/>
      <w:marTop w:val="0"/>
      <w:marBottom w:val="0"/>
      <w:divBdr>
        <w:top w:val="none" w:sz="0" w:space="0" w:color="auto"/>
        <w:left w:val="none" w:sz="0" w:space="0" w:color="auto"/>
        <w:bottom w:val="none" w:sz="0" w:space="0" w:color="auto"/>
        <w:right w:val="none" w:sz="0" w:space="0" w:color="auto"/>
      </w:divBdr>
    </w:div>
    <w:div w:id="1626933959">
      <w:bodyDiv w:val="1"/>
      <w:marLeft w:val="0"/>
      <w:marRight w:val="0"/>
      <w:marTop w:val="0"/>
      <w:marBottom w:val="0"/>
      <w:divBdr>
        <w:top w:val="none" w:sz="0" w:space="0" w:color="auto"/>
        <w:left w:val="none" w:sz="0" w:space="0" w:color="auto"/>
        <w:bottom w:val="none" w:sz="0" w:space="0" w:color="auto"/>
        <w:right w:val="none" w:sz="0" w:space="0" w:color="auto"/>
      </w:divBdr>
    </w:div>
    <w:div w:id="199186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'LC_Comp_Stat_2011-2022_eng'!$C$91</c:f>
              <c:strCache>
                <c:ptCount val="1"/>
                <c:pt idx="0">
                  <c:v>Total GWS in % (USD)</c:v>
                </c:pt>
              </c:strCache>
            </c:strRef>
          </c:tx>
          <c:spPr>
            <a:ln w="28575" cap="rnd">
              <a:solidFill>
                <a:srgbClr val="008094"/>
              </a:solidFill>
              <a:round/>
            </a:ln>
            <a:effectLst/>
          </c:spPr>
          <c:marker>
            <c:symbol val="none"/>
          </c:marker>
          <c:dLbls>
            <c:dLbl>
              <c:idx val="1"/>
              <c:layout>
                <c:manualLayout>
                  <c:x val="-1.6645433908452734E-2"/>
                  <c:y val="-5.06245995692017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952-43A1-BE35-58EC2FEE9479}"/>
                </c:ext>
              </c:extLst>
            </c:dLbl>
            <c:dLbl>
              <c:idx val="2"/>
              <c:layout>
                <c:manualLayout>
                  <c:x val="-7.1337573893368866E-3"/>
                  <c:y val="3.68178905957830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52-43A1-BE35-58EC2FEE94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'LC_Comp_Stat_2011-2022_eng'!$B$92:$B$101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'LC_Comp_Stat_2011-2022_eng'!$C$92:$C$101</c:f>
              <c:numCache>
                <c:formatCode>0.0%</c:formatCode>
                <c:ptCount val="10"/>
                <c:pt idx="0">
                  <c:v>0.47378995368011922</c:v>
                </c:pt>
                <c:pt idx="1">
                  <c:v>0.48776755629342261</c:v>
                </c:pt>
                <c:pt idx="2">
                  <c:v>0.51596971276549364</c:v>
                </c:pt>
                <c:pt idx="3">
                  <c:v>0.54141466771258717</c:v>
                </c:pt>
                <c:pt idx="4">
                  <c:v>0.596475782619864</c:v>
                </c:pt>
                <c:pt idx="5">
                  <c:v>0.57002806729601385</c:v>
                </c:pt>
                <c:pt idx="6">
                  <c:v>0.59343492145176191</c:v>
                </c:pt>
                <c:pt idx="7">
                  <c:v>0.68560222844037799</c:v>
                </c:pt>
                <c:pt idx="8">
                  <c:v>0.56397649988260701</c:v>
                </c:pt>
                <c:pt idx="9">
                  <c:v>0.63240650614670302</c:v>
                </c:pt>
              </c:numCache>
            </c:numRef>
          </c:val>
          <c:smooth val="0"/>
          <c:extLst>
            <c:ext xmlns:c16="http://schemas.microsoft.com/office/drawing/2014/chart" uri="{C3380CC4-5D6E-409C-BE32-E72D297353CC}">
              <c16:uniqueId val="{00000002-5952-43A1-BE35-58EC2FEE9479}"/>
            </c:ext>
          </c:extLst>
        </c:ser>
        <c:dLbls>
          <c:showLegendKey val="0"/>
          <c:showVal val="0"/>
          <c:showCatName val="0"/>
          <c:showSerName val="0"/>
          <c:showPercent val="0"/>
          <c:showBubbleSize val="0"/>
        </c:dLbls>
        <c:smooth val="0"/>
        <c:axId val="100395200"/>
        <c:axId val="100392904"/>
      </c:lineChart>
      <c:catAx>
        <c:axId val="100395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0392904"/>
        <c:crosses val="autoZero"/>
        <c:auto val="1"/>
        <c:lblAlgn val="ctr"/>
        <c:lblOffset val="100"/>
        <c:noMultiLvlLbl val="0"/>
      </c:catAx>
      <c:valAx>
        <c:axId val="10039290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95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61D32881BE51C44B048FBF6585238D8" ma:contentTypeVersion="4" ma:contentTypeDescription="Создание документа." ma:contentTypeScope="" ma:versionID="c567ca520667ba0829af5717446c41a2">
  <xsd:schema xmlns:xsd="http://www.w3.org/2001/XMLSchema" xmlns:xs="http://www.w3.org/2001/XMLSchema" xmlns:p="http://schemas.microsoft.com/office/2006/metadata/properties" xmlns:ns2="1b505b50-9683-452e-89b2-4f10e721363b" targetNamespace="http://schemas.microsoft.com/office/2006/metadata/properties" ma:root="true" ma:fieldsID="5c0f251e781323e23d81515f62c28040" ns2:_="">
    <xsd:import namespace="1b505b50-9683-452e-89b2-4f10e72136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05b50-9683-452e-89b2-4f10e7213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8391-7A6F-4CBB-9E9E-5850104744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617C41-6E11-4D16-A8A9-106EBADB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05b50-9683-452e-89b2-4f10e7213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36783-603B-436A-BBC5-A3DDADA3F0C4}">
  <ds:schemaRefs>
    <ds:schemaRef ds:uri="http://schemas.microsoft.com/sharepoint/v3/contenttype/forms"/>
  </ds:schemaRefs>
</ds:datastoreItem>
</file>

<file path=customXml/itemProps4.xml><?xml version="1.0" encoding="utf-8"?>
<ds:datastoreItem xmlns:ds="http://schemas.openxmlformats.org/officeDocument/2006/customXml" ds:itemID="{EE8E5348-9587-4B01-BF43-90E481A0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1244</Words>
  <Characters>7097</Characters>
  <Application>Microsoft Office Word</Application>
  <DocSecurity>0</DocSecurity>
  <Lines>59</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Karachaganak Petroleum Operating B.V.</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Apiyeva, Venera</dc:creator>
  <cp:keywords/>
  <cp:lastModifiedBy>Akhmetova, Shynar</cp:lastModifiedBy>
  <cp:revision>67</cp:revision>
  <cp:lastPrinted>2021-01-07T16:19:00Z</cp:lastPrinted>
  <dcterms:created xsi:type="dcterms:W3CDTF">2024-03-11T09:05:00Z</dcterms:created>
  <dcterms:modified xsi:type="dcterms:W3CDTF">2024-03-11T10:55:00Z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0x010100861D32881BE51C44B048FBF6585238D8</vt:lpwstr>
  </property>
</Properties>
</file>